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ACJC/890/2016 vom 30. Juni 2016</w:t>
      </w:r>
    </w:p>
    <w:p>
      <w:r>
        <w:t>GE Cour de justice, 2016-06-30, FR</w:t>
      </w:r>
    </w:p>
    <w:p>
      <w:r>
        <w:rPr>
          <w:b/>
        </w:rPr>
        <w:t xml:space="preserve">Quelle: </w:t>
      </w:r>
      <w:r>
        <w:t>https://mcp.opencaselaw.ch/entscheid/ge_gerichte_ACJC_890_2016</w:t>
      </w:r>
    </w:p>
    <w:p>
      <w:r>
        <w:t>FR: GE_GERICHTE ACJC/890/2016 du 30 juin 2016</w:t>
      </w:r>
    </w:p>
    <w:p>
      <w:r>
        <w:t>IT: GE_GERICHTE ACJC/890/2016 del 30 giugno 2016</w:t>
      </w:r>
    </w:p>
    <w:p>
      <w:pPr>
        <w:pStyle w:val="Heading2"/>
      </w:pPr>
      <w:r>
        <w:t>Erwägungen</w:t>
      </w:r>
    </w:p>
    <w:p>
      <w:r>
        <w:rPr>
          <w:b/>
        </w:rPr>
        <w:t>E. 1.1</w:t>
      </w:r>
    </w:p>
    <w:p>
      <w:r>
        <w:t>Le prononcé d'un avis au débiteur fondé sur l'art. 291 CC constitue une mesure d'exécution privilégiée sui generis qui se trouve en lien étroit avec le droit civil et est de nature pécuniaire puisqu'elle a pour objet des intérêts financiers. Par ailleurs, le jugement portant sur un avis au débiteur est en principe une décision finale au sens de l'art. 308 al. 1 let. a CPC (ATF 137 III 193 consid. 1, SJ 2012 I 68).</w:t>
      </w:r>
    </w:p>
    <w:p>
      <w:r>
        <w:t>Cette décision n'émanant toutefois pas du Tribunal de l'exécution mais du juge civil, la voie de l'appel est ouverte (art. 308 al. 1 let. b et 309 al. 1 CPC a contrario).</w:t>
      </w:r>
    </w:p>
    <w:p>
      <w:r>
        <w:t>- 5/9 -</w:t>
      </w:r>
    </w:p>
    <w:p>
      <w:r>
        <w:t>C/20021/2015</w:t>
      </w:r>
    </w:p>
    <w:p>
      <w:r>
        <w:rPr>
          <w:b/>
        </w:rPr>
        <w:t>E. 1.2</w:t>
      </w:r>
    </w:p>
    <w:p>
      <w:r>
        <w:t>En l'espèce, interjeté dans le délai de dix jours (art. 302 al. 1 let. c et 314 al. 1 CPC) et suivant la forme prescrite par la loi (art. 130, 131, 311 al. 1 CPC), dans le cadre d'une affaire patrimoniale dont la valeur litigieuse est supérieure à 10'000 fr. (art. 92 al. 1 et 2 et 308 al. 2 CPC), l'appel est recevable.</w:t>
      </w:r>
    </w:p>
    <w:p>
      <w:r>
        <w:rPr>
          <w:b/>
        </w:rPr>
        <w:t>E. 1.3</w:t>
      </w:r>
    </w:p>
    <w:p>
      <w:r>
        <w:t>La mesure d'avis au débiteur prévue à l'art. 291 CC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2, n. 1901). Le juge statue ainsi sans instruction étendue sur la base des preuves immédiatement disponibles (arrêt du Tribunal fédéral 5A_442/2013 du 24 juillet 2013 consid. 2.1 et 5.1).</w:t>
      </w:r>
    </w:p>
    <w:p>
      <w:r>
        <w:t>La procédure est en outre régie par les maximes inquisitoires et d'office illimitées, dans la mesure où elle porte exclusivement sur la contribution à l'entretien d'un enfant mineur (art. 296 CPC).</w:t>
      </w:r>
    </w:p>
    <w:p>
      <w:r>
        <w:t>La Cour revoit la cause avec un plein pouvoir d'examen, tant en fait qu'en droit (art. 310 CPC), dans la limite des seuls points soumis à sa cognition par les parties (ATF 137 III 617 consid. 4.5.3 et 5.2).</w:t>
      </w:r>
    </w:p>
    <w:p>
      <w:r>
        <w:rPr>
          <w:b/>
        </w:rPr>
        <w:t>E. 2</w:t>
      </w:r>
    </w:p>
    <w:p>
      <w:r>
        <w:t>L'appelant fait valoir que les conditions pour qu'un avis au débiteur soit ordonné sont réalisées en l'espèce. Il estime que les manquements de l'intimé ne sont ni ponctuels ni isolés, et rappelle que l'obligation d'entretien relève de son propre engagement, soit d'une convention passée par les parents de l'enfant, ratifiée par le Tribunal tutélaire, qu'il n'a pas respecté.</w:t>
      </w:r>
    </w:p>
    <w:p>
      <w:r>
        <w:rPr>
          <w:b/>
        </w:rPr>
        <w:t>E. 2.1</w:t>
      </w:r>
    </w:p>
    <w:p>
      <w:r>
        <w:t>Selon l'art. 291 CC, lorsque les père et mère négligent de prendre soin de l'enfant, le juge peut ordonner à leur débiteur d'opérer tout ou partie de leurs paiements entre les mains du représentant légal de l'enfant.</w:t>
      </w:r>
    </w:p>
    <w:p>
      <w:r>
        <w:t>Pour qu'un tel avis, dont l'objectif est de permettre l'encaissement ponctuel et régulier des sommes destinées à l'entretien du crédirentier et de sa famille (arrêt du Tribunal fédéral 5P.75/2004 du 26 mai 2004),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123 III 1; BASTONS-BULLETTI, Commentaire Romand CC I, n. 9 ad. art. 291 CC).</w:t>
      </w:r>
    </w:p>
    <w:p>
      <w:r>
        <w:t>L'avis au débiteur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w:t>
      </w:r>
    </w:p>
    <w:p>
      <w:r>
        <w:t>- 6/9 -</w:t>
      </w:r>
    </w:p>
    <w:p>
      <w:r>
        <w:t>C/20021/2015 s'acquittera pas de son obligation ou du moins qu'irrégulièrement (arrêt du Tribunal fédéral 5A_958/2012 du 27 juillet 2013 consid. 2.3.2.1). Des indices en ce sens sont suffisants s'ils reposent sur des circonstances concrètes, tels que les déclarations d'une partie en justice ou son désintérêt de la procédure; le juge dispose d'un large pouvoir d'appréciation (arrêt du Tribunal fédéral 5A_464/2012 du 30 novembre 2012 consid. 5.3).</w:t>
      </w:r>
    </w:p>
    <w:p>
      <w:r>
        <w:t>Le juge saisit de la requête d'avis au débiteur statue en équité, en tenant compte des circonstances de l'espèce (art. 4 CC; arrêt du Tribunal fédéral 5A_958/2012 précité consid. 2.3.2.2).</w:t>
      </w:r>
    </w:p>
    <w:p>
      <w:r>
        <w:t>Il est indéniable que l'avis au débiteur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(arrêt du Tribunal fédéral 5A_958/2012 précité consid. 3.2).</w:t>
      </w:r>
    </w:p>
    <w:p>
      <w:r>
        <w:rPr>
          <w:b/>
        </w:rPr>
        <w:t>E. 2.2</w:t>
      </w:r>
    </w:p>
    <w:p>
      <w:r>
        <w:t>En l'espèce, l'obligation d'entretien de l'intimé relève de son propre engagement à verser la somme prévue en faveur de son enfant, dont la teneur a été entérinée par le Tribunal tutélaire le 14 mai 2009.</w:t>
      </w:r>
    </w:p>
    <w:p>
      <w:r>
        <w:t>Malgré cet engagement, il ressort de la procédure que le cité ne s'est acquitté de son premier versement postérieur à la convention passée en vue du recouvrement des pensions alimentaires par la mère de l'enfant avec le SCARPA, que près d'une année et demi après le début du mandat (le 27 octobre 2011: premier versement, début du mandat le 1er mars 2010). Par la suite, l'intimé n'a procédé à aucun paiement pendant plusieurs mois, notamment entre le 10 juillet 2012 et le 17 avril 2013, puis entre le 28 août 2014 et le 24 juin 2015. De plus, au jour de la requête du SCARPA, soit au 29 septembre 2015, le débiteur n'avait plus effectué de paiements depuis trois mois à nouveau.</w:t>
      </w:r>
    </w:p>
    <w:p>
      <w:r>
        <w:t>Certes, il a procédé à des paiements en bloc les 27 octobre 2011, 17 avril 2013 et 24 juin 2015 et a soldé l'arriéré relatif à la présente procédure au cours de celle-ci. Cela dit, l'on constate que ce n'est que sous la pression des poursuites et des requêtes en Justice que, depuis plusieurs années, l'intimé s'acquitte, irrégulièrement, de la contribution due. Par conséquent et indépendamment de l'ordre permanent donné, dont l'appelant relève à juste titre qu'il peut être révoqué en tout temps, il doit être retenu que les conditions au prononcé d'un avis au débiteur étaient réalisées, de sorte que le Tribunal devait faire droit à la requête.</w:t>
      </w:r>
    </w:p>
    <w:p>
      <w:r>
        <w:t>- 7/9 -</w:t>
      </w:r>
    </w:p>
    <w:p>
      <w:r>
        <w:t>C/20021/2015 Cela étant, et pour faire suite aux déclarations du représentant du SCARPA par-devant le Tribunal, il sera rappelé à celui-ci son engagement de ne pas communiquer à l'employeur de l'intimé le présent arrêt tant que l'ordre permanent donné par l'intimé sera maintenu. En définitive, l'appel est admis, le jugement annulé et les conclusions de l'appelant retenues.</w:t>
      </w:r>
    </w:p>
    <w:p>
      <w:r>
        <w:rPr>
          <w:b/>
        </w:rPr>
        <w:t>E. 3</w:t>
      </w:r>
    </w:p>
    <w:p>
      <w:r>
        <w:t>Dans la mesure où il succombe, l'intimé sera condamné aux frais des procédures de première et de seconde instance (art. 318 al. 3 CPC). Ils sont fixés à 1'000 fr. (200 fr. + 800 fr.) entièrement compensés par les avances de frais effectuées par l'appelant qui restent acquises à l'Etat. L'intimé sera condamné à lui rembourser ce montant. Il n'y a pas lieu à dépens. * * * * *</w:t>
      </w:r>
    </w:p>
    <w:p>
      <w:r>
        <w:t>- 8/9 -</w:t>
      </w:r>
    </w:p>
    <w:p>
      <w:r>
        <w:t>C/20021/2015 PAR CES MOTIFS, La Chambre civile : A la forme : Déclare recevable l'appel interjeté par l'Etat de Genève, soit pour lui le Service cantonal d'avance et de recouvrement des pensions alimentaires (SCARPA) contre le jugement JTPI/4034/2016 rendu le 24 mars 2016 par le Tribunal de première instance dans la cause C/20021/2015-10. Au fond : L'admet et annule ce jugement. Et statuant à nouveau : Ordonne à tout débiteur et/ou employeur de A______, notamment la société B______, sise ______ Meyrin de verser mensuellement à l'Etat de Genève, soit pour lui le Service cantonal d'avance et de recouvrement des pensions alimentaires (SCARPA) sur le compte ______ avec la référence «1______» toute somme supérieure à son minimum vital à concurrence des pensions alimentaires courantes (actuellement 200 fr.) dues depuis le 29 septembre 2015 pour l'entretien de sa fille C______, née le ______ 2008, prélevée notamment sur son salaire, ainsi que sur toute commission, tout treizième salaire et/ou toute autre gratification. Dit que l'obligation visée sous chiffre 1 s'étend à toute modification dans le montant de la pension courante liée notamment à une indexation, à un changement de palier d'âge ou à un nouveau jugement. Dit que l'obligation visée sous chiffre 1 subsiste aussi longtemps que A______ sera débiteur de contributions d'entretien envers sa fille et que l'Etat de Genève, soit pour lui le SCARPA, sera cessionnaire des droits de celle-ci. Dit que l'obligation visée sous chiffre 1 s'étend notamment à toute caisse de compensation, caisse maladie et accident ou de chômage. Donne acte au SCARPA de ce qu'il s'engage à annoncer à tout débiteur, employeur, toute caisse de compensation, caisse maladie, accident ou de chômage, toute modification dans le montant de la pension courante (notamment indexation, palier d'âge ou nouveau jugement).</w:t>
      </w:r>
    </w:p>
    <w:p>
      <w:r>
        <w:t>- 9/9 -</w:t>
      </w:r>
    </w:p>
    <w:p>
      <w:r>
        <w:t>C/20021/2015 Sur les frais : Arrête les frais de première instance et d'appel à 1'000 fr. et les compense en totalité avec les avances de frais versées par l'appelant. Les met à la charge de A______. Condamne en conséquence A______ à payer à l'Etat de Genève la somme de 1'000 fr.. Dit qu'il n'y a pas lieu à la fixation de dépens.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