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ACJC/88/2020 vom 16. Januar 2020</w:t>
      </w:r>
    </w:p>
    <w:p>
      <w:r>
        <w:t>GE Cour de justice, 2020-01-16, FR</w:t>
      </w:r>
    </w:p>
    <w:p>
      <w:r>
        <w:rPr>
          <w:b/>
        </w:rPr>
        <w:t xml:space="preserve">Quelle: </w:t>
      </w:r>
      <w:r>
        <w:t>https://mcp.opencaselaw.ch/entscheid/ge_gerichte_ACJC_88_2020</w:t>
      </w:r>
    </w:p>
    <w:p>
      <w:r>
        <w:t>FR: GE_GERICHTE ACJC/88/2020 du 16 janvier 2020</w:t>
      </w:r>
    </w:p>
    <w:p>
      <w:r>
        <w:t>IT: GE_GERICHTE ACJC/88/2020 del 16 gennaio 2020</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w:t>
      </w:r>
    </w:p>
    <w:p>
      <w:r>
        <w:t>- 4/7 -</w:t>
      </w:r>
    </w:p>
    <w:p>
      <w:r>
        <w:t>C/21924/2019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w:t>
      </w:r>
    </w:p>
    <w:p>
      <w:r>
        <w:rPr>
          <w:b/>
        </w:rPr>
        <w:t>E. 3</w:t>
      </w:r>
    </w:p>
    <w:p>
      <w:r>
        <w:t>La recourante a formé de nouveaux allégués et produit une pièce nouvelle.</w:t>
      </w:r>
    </w:p>
    <w:p>
      <w:r>
        <w:rPr>
          <w:b/>
        </w:rPr>
        <w:t>E. 3.1</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w:t>
      </w:r>
    </w:p>
    <w:p>
      <w:r>
        <w:rPr>
          <w:b/>
        </w:rPr>
        <w:t>E. 3.2</w:t>
      </w:r>
    </w:p>
    <w:p>
      <w:r>
        <w:t>Il s'ensuit que les faits nouvellement allégués et la pièce nouvelle produite sont irrecevables. Ainsi, pour examiner si la loi a été violée, la Cour doit se placer dans la situation où se trouvait le premier juge lorsque celui-ci a rendu la décision attaquée. 4. La recourante fait grief au Tribunal d'avoir retenu à tort qu'elle ne disposait pas de la légitimation active, faute d'être créancière du débiteur. 4.1 Aux termes de l'art. 271 al. 1 ch. 4 LP, le créancier d'une dette échue et non garantie par gage peut requérir le séquestre des biens du débiteur qui se trouvent en Suisse lorsque le débiteur n'habite pas en Suisse et qu'il n'y a pas d'autres cas de séquestre, pour autant que la créance ait un lien suffisant avec la Suisse et qu'elle se fonde sur une reconnaissance de dette au sens de l'art. 82 al. 1 LP. Le séquestre est autorisé à condition que le créancier rende vraisemblable que sa créance existe, qu'on est en présence d'un cas de séquestre et qu'il existe des biens appartenant au débiteur (art. 272 al. 1 ch. 1 à 3 LP). 4.2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w:t>
      </w:r>
    </w:p>
    <w:p>
      <w:r>
        <w:t>- 5/7 -</w:t>
      </w:r>
    </w:p>
    <w:p>
      <w:r>
        <w:t>C/21924/2019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4.3 Le cas de séquestre de l'art. 271 al. 1 ch. 4 LP exige un titre spécial de créance, qui peut être soit un titre de mainlevée définitive, comme un jugement</w:t>
      </w:r>
    </w:p>
    <w:p>
      <w:r>
        <w:t>- 6/7 -</w:t>
      </w:r>
    </w:p>
    <w:p>
      <w:r>
        <w:t>C/21924/2019 exécutoire, soit un titre de mainlevée provisoire (STOFFEL/CHABLOZ, Commentaire romand, op. cit., n. 70 et ss ad art. 271 LP; GILLIERON, Commentaire de la LP, n. 54, 58 et 59 ad art. 271 LP). Par reconnaissance de dette au sens de l'art. 82 al. 1 LP, il faut entendre notamment l'acte sous seing privé signé par le poursuivi - ou son représentant (ATF 130 III 87 consid. 3.1) - d'où ressort sa volonté de payer au poursuivant, sans réserve ni conditions, une somme d'argent déterminée ou aisément déterminable, et exigible (ATF 136 III 624 consid. 4.2.2; 136 III 627 consid. 2). Un contrat écrit justifie en principe la mainlevée provisoire de l'opposition pour la somme d'argent incombant au poursuivi si les conditions d'exigibilité de la dette sont établies (arrêt du Tribunal fédéral 5A_465/2014 du 20 août 2014 consid. 7.2.1.2 et les réf. citées).</w:t>
      </w:r>
    </w:p>
    <w:p>
      <w:r>
        <w:t>4.4 En l'espèce, la recourante fonde essentiellement son recours sur des faits nouveaux et sur la pièce nouvellement produite, lesquels sont irrecevables. Sur la base des allégués et des pièces versées en première instance, le Tribunal a, à bon droit, retenu que la recourante n'avait pas rendu vraisemblable qu'elle était créancière des montants requis dans la présente procédure. En effet, la police d'assurance-maladie mentionne que l'assureur responsable est F______ SA et que la recourante peut fournir des prestations de services pour cette dernière. Dite police ne stipule pas que la recourante pourrait se substituer à elle pour procéder au recouvrement des primes non payées. Il ne résulte par ailleurs pas des autres pièces que la recourante serait cessionnaire de F______ SA, ce qu'elle n'allègue au demeurant pas.</w:t>
      </w:r>
    </w:p>
    <w:p>
      <w:r>
        <w:t>Le grief de la recourante est ainsi infondé.</w:t>
      </w:r>
    </w:p>
    <w:p>
      <w:r>
        <w:t>Par ailleurs, la recourante n'a pas rendu vraisemblable l'existence de biens appartenant au débiteur en Suisse. En effet, la seule pièce produite, soit un courrier du Secrétariat aux Migrations de la Confédération suisse du 31 mai 2019, ne permet pas de retenir, même sous l'angle de la vraisemblance, que C______ était employé de la société D______ SA à Genève au jour du dépôt de la requête de séquestre.</w:t>
      </w:r>
    </w:p>
    <w:p>
      <w:r>
        <w:t>4.5 Le recours sera dès lors rejeté. 5. Les frais judiciaires du recours seront arrêtés à 300 fr. (art. 48 et 61 al. 1 OELP) et mis à la charge de la recourante, qui succombe (art. 106 al. 1 CPC). Ils seront entièrement compensés avec l'avance de frais, d'un montant correspondant, fournie par celle-ci, laquelle reste acquise à l'Etat de Genève (art. 111 al. 1 CPC). * * * * *</w:t>
      </w:r>
    </w:p>
    <w:p>
      <w:r>
        <w:t>- 7/7 -</w:t>
      </w:r>
    </w:p>
    <w:p>
      <w:r>
        <w:t>C/21924/2019 PAR CES MOTIFS, La Chambre civile : A la forme : Déclare recevable le recours interjeté le 19 décembre 2019 par A______ SA contre l'ordonnance SQ/1266/2019 rendue le 9 décembre 2019 par le Tribunal de première instance dans la cause C/21924/2019-4 SQP. Au fond : Rejette ce recours. Sur les frais : Arrête les frais judiciaires du recours à 300 fr., les met à la charge de A______ SA et les compense avec l'avance de frais fournie, acquise à l'Etat de Genève.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janvier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