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ACJC/888/2023 vom 11. Juli 2023</w:t>
      </w:r>
    </w:p>
    <w:p>
      <w:r>
        <w:t>GE Cour de justice, 2023-07-11, FR</w:t>
      </w:r>
    </w:p>
    <w:p>
      <w:r>
        <w:rPr>
          <w:b/>
        </w:rPr>
        <w:t xml:space="preserve">Quelle: </w:t>
      </w:r>
      <w:r>
        <w:t>https://mcp.opencaselaw.ch/entscheid/ge_gerichte_ACJC_888_2023</w:t>
      </w:r>
    </w:p>
    <w:p>
      <w:r>
        <w:t>FR: GE_GERICHTE ACJC/888/2023 du 11 juillet 2023</w:t>
      </w:r>
    </w:p>
    <w:p>
      <w:r>
        <w:t>IT: GE_GERICHTE ACJC/888/2023 del 11 luglio 2023</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w:t>
      </w:r>
    </w:p>
    <w:p>
      <w:r>
        <w:t>La valeur litigieuse au dernier état des conclusions étant, en l'espèce, supérieure à 10'000 fr., la voie de l'appel est ouverte.</w:t>
      </w:r>
    </w:p>
    <w:p>
      <w:r>
        <w:rPr>
          <w:b/>
        </w:rPr>
        <w:t>E. 1.2</w:t>
      </w:r>
    </w:p>
    <w:p>
      <w:r>
        <w:t>Interjeté dans le délai utile de 30 jours (art. 142 al. 1 et 311 al. 1 CPC) et selon la forme prescrite par la loi (art. 130, 131 et 311 CPC), l'appel est recevable.</w:t>
      </w:r>
    </w:p>
    <w:p>
      <w:r>
        <w:rPr>
          <w:b/>
        </w:rPr>
        <w:t>E. 1.3</w:t>
      </w:r>
    </w:p>
    <w:p>
      <w:r>
        <w:t>La Cour revoit la cause avec un plein pouvoir d'examen (art. 310 CPC) dans la limite des griefs motivés qui sont formulés (ATF 142 III 413 consid. 2.2.4;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La cause est soumise à la maxime des débats et au principe de disposition (art. 55 al. 1, 58 al. 1 et 247 al. 2 a contrario CPC).</w:t>
      </w:r>
    </w:p>
    <w:p>
      <w:r>
        <w:rPr>
          <w:b/>
        </w:rPr>
        <w:t>E. 1.5</w:t>
      </w:r>
    </w:p>
    <w:p>
      <w:r>
        <w:t>Les parties ne remettent pas en cause, à juste titre, la compétence des autorités judiciaires genevoises (art. 12, 17 et 32 CPC), puisque la succursale genevoise existait au moment de la litispendance (DIETSCHY-MARTENET, Petit commentaire, Code de procédure civile, n. 13 ad art. 12 CPC).</w:t>
      </w:r>
    </w:p>
    <w:p>
      <w:r>
        <w:rPr>
          <w:b/>
        </w:rPr>
        <w:t>E. 2</w:t>
      </w:r>
    </w:p>
    <w:p>
      <w:r>
        <w:t>2.1.1 Les questions de rectification de qualité des parties et de qualité pour agir ainsi que de légitimation s'examinent d'office (parmi d'autres ATF 138 III 537; arrêts du Tribunal fédéral 4A_282/2021 du 29 novembre 2021 consid. 4.3; 4A_510/2016 du 26 janvier 2017 consid. 3.2; 4A_1/2014 du 26 mars 2014 consid. 2.3).</w:t>
      </w:r>
    </w:p>
    <w:p>
      <w:r>
        <w:t>2.1.2 Lorsque l'objet litigieux est aliéné en cours d'instance, l'acquéreur peut reprendre le procès en lieu et place de la partie qui se retire (art. 83 al. 1 CPC). Le consentement de la partie adverse à la substitution n'est pas nécessaire (arrêt du Tribunal fédéral 5A_717/2020 du 2 juin 2021 consid. 4.1.1.2.2). Selon l'art. 83 al. 4 CPC, en l'absence d'aliénation de l'objet du litige, la substitution de partie est subordonnée au consentement de la partie adverse; les dispositions spéciales prévoyant la succession d'un tiers aux droits ou obligations des parties sont réservées. La cession d'un patrimoine ou d'une entreprise appartenant à des sociétés ou à des entreprises individuelles qui sont inscrites au Registre du commerce, est régie par les dispositions de la LFus (art. 181 al. 4</w:t>
      </w:r>
    </w:p>
    <w:p>
      <w:r>
        <w:t>- 21/40 -</w:t>
      </w:r>
    </w:p>
    <w:p>
      <w:r>
        <w:t>C/21600/2016 CO). Selon l'art. 3 al. 1 LFus, la fusion de sociétés peut résulter de la reprise d'une société par une autre (fusion par absorption) ou de leur réunion en une nouvelle société (fusion par combinaison). La fusion entraîne la dissolution de la société transférante et sa radiation du Registre du commerce (art. 3 al. 2 LFus). A teneur de l'art. 22 LFus, la fusion déploie ses effets dès son inscription au Registre du commerce. A cette date, l'ensemble des actifs et passifs de la société transférante sont transférés de par la loi à la société reprenante. Sous l'angle procédural, la fusion a pour conséquence la substitution de par le droit fédéral. Dans ce cas, la succession légale de l'ayant droit reprenant, dans la position de partie au procès civil de l'ayant droit cédant, intervient automatiquement (arrêts du Tribunal fédéral 4A_610/2014 du 30 mars 2015 consid. 4.2.2; 5A_256/2016 du 9 juin 2017 consid. 3.2 et 3.6).</w:t>
      </w:r>
    </w:p>
    <w:p>
      <w:r>
        <w:rPr>
          <w:b/>
        </w:rPr>
        <w:t>E. 2.2</w:t>
      </w:r>
    </w:p>
    <w:p>
      <w:r>
        <w:t>En l'espèce, il ressort de l'instruction complémentaire de la Cour que la partie appelante a en réalité changé au cours de la procédure première instance, en raison d'une cession de patrimoine au sens de l'art. 181 al. 4 CO, entre A______ SA, devenue A______ IMPORT AG, inscrite sous n° CHE 3______, et A______ SA, fondée le ______ 2017 et inscrite sous n° CHE 4______, sans qu'aucune des parties n'en informe le Tribunal. Il s'agit d'un cas de substitution de partie d'office prévu par la loi au sens de l'art. 83 al. 4 CPC. Il se trouve que la nouvelle entité reprenante a exactement la même raison sociale, la même adresse et la même succursale genevoise que l'entité cédante, même s'il s'agit de personnes morales distinctes. La formulation du dispositif et du rubrum du jugement est par conséquent formellement correcte, même si, matériellement, il aurait fallu constater qu'il ne s'agissait en réalité plus de la même partie que celle ayant été initialement assignée en justice. De même, il est douteux de savoir qui a rédigé l'appel du fait de l'homonymie des sociétés cédante et reprenante. Il importe toutefois peu de résoudre cette question, la désignation étant correcte au jour du dépôt de l'appel et l'intimé s'en rapportant à justice sur la question. Il sera par conséquent constaté la substitution de la partie appelante, en ce sens que la société A______ SA, inscrite sous n° CHE 4______, s'est substituée à la société A______ SA, devenue A______ IMPORT AG, inscrite sous n° CHE 3______.</w:t>
      </w:r>
    </w:p>
    <w:p>
      <w:r>
        <w:rPr>
          <w:b/>
        </w:rPr>
        <w:t>E. 3</w:t>
      </w:r>
    </w:p>
    <w:p>
      <w:r>
        <w:t>L'intimé a allégué des faits nouveaux et produit des pièces nouvelle en appel.</w:t>
      </w:r>
    </w:p>
    <w:p>
      <w:r>
        <w:rPr>
          <w:b/>
        </w:rPr>
        <w:t>E. 3.1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w:t>
      </w:r>
    </w:p>
    <w:p>
      <w:r>
        <w:t>- 22/40 -</w:t>
      </w:r>
    </w:p>
    <w:p>
      <w:r>
        <w:t>C/21600/2016</w:t>
      </w:r>
    </w:p>
    <w:p>
      <w:r>
        <w:t>S'agissant des vrais nova ("echte Noven"), la condition de nouveauté posée par la lettre b est sans autre réalisée et seule celle d'allégation immédiate doit être examinée (ATF 144 III 349 consid. 4.2.1 et les références citées). Un vrai nova est introduit sans retard s'il l'est dans un délai de dix jours, respectivement d'une à deux semaines (arrêt du Tribunal fédéral 4A_707/2016 du 29 mai 2017 consid. 3.3.2).Une partie qui dispose déjà d'un délai pour déposer un mémoire peut attendre la fin de ce délai, car la procédure ne s'en trouve pas retardée (arrêts du Tribunal fédéral 5A_790/2016 du 9 août 2018 consid. 3.4; 4A_707/2016 précité consid. 3.3.2).</w:t>
      </w:r>
    </w:p>
    <w:p>
      <w:r>
        <w:rPr>
          <w:b/>
        </w:rPr>
        <w:t>E. 3.2</w:t>
      </w:r>
    </w:p>
    <w:p>
      <w:r>
        <w:t>En l'espèce, les pièces 73 et 74 produites par l'intimé sont postérieures au prononcé du jugement. Produites sans retard à l'appui de la réponse à l'appel, elles sont recevables, de même que les faits y relatifs.</w:t>
      </w:r>
    </w:p>
    <w:p>
      <w:r>
        <w:t>Les pièces 75 et 76 sont antérieures au moment où la cause a été gardée à juger par le Tribunal. L'intimé soutient toutefois n'en avoir pris connaissance que lorsque le Ministère public de la Confédération les lui a notifiées, soit le 27 janvier 2022. La question de leur recevabilité peut toutefois demeurer indécise, dans la mesure où les faits qui s'y rapportent, soit que C______ AG a été condamnée au paiement d'une amende administrative d'un milliard d'euros en Allemagne, ont été pris en compte par le premier juge.</w:t>
      </w:r>
    </w:p>
    <w:p>
      <w:r>
        <w:rPr>
          <w:b/>
        </w:rPr>
        <w:t>E. 4</w:t>
      </w:r>
    </w:p>
    <w:p>
      <w:r>
        <w:t>Préalablement, l'appelante conclut à l'admission de ses écritures et pièce produite le 5 décembre 2019, déclarées irrecevables par le premier juge.</w:t>
      </w:r>
    </w:p>
    <w:p>
      <w:r>
        <w:rPr>
          <w:b/>
        </w:rPr>
        <w:t>E. 4.1</w:t>
      </w:r>
    </w:p>
    <w:p>
      <w:r>
        <w:t>Les faits et moyens de preuve nouveaux peuvent être présentés lors des débats d'instruction lorsque ceux-ci sont ordonnés (art. 226 al. 2 CPC) ou, à défaut, à l'ouverture des débats principaux (art. 229 al. 2 CPC). Si un nouvel élément n'est introduit qu'après ce moment, il est dès lors tardif et ne peut plus être pris en considération qu'aux conditions de l'art. 229 al. 1 let. a (vrai nova) ou let. b (pseudo nova) CPC (arrêt du Tribunal fédéral 5A_767/2015 du 28 mars 2017 consid. 3.3). Aux termes de l'art. 229 al. 1 CPC, les faits nouveaux et les nouveaux moyens de preuve ne sont admis aux débats principaux que s'ils sont invoqués sans retard et qu'ils sont postérieurs à l'échange d'écritures ou à la dernière audience d'instruction ou ont été découverts postérieurement (novas proprement dits) ou s'ils existaient avant la clôture de l'échange d'écritures ou la dernière audience d'instruction, mais ne pouvaient être invoqués antérieurement en faisant preuve de la diligence requise (novas improprement dits). De manière générale, l'art. 229 al. 1 CPC exige que des novas tant proprement dits qu'improprement dits soient invoqués sans retard. Cette condition n'implique pas de délai fixe, mais laisse une certaine marge d'appréciation au juge. Il est par exemple admissible que la partie concernée ait jugé utile de faire certaines</w:t>
      </w:r>
    </w:p>
    <w:p>
      <w:r>
        <w:t>- 23/40 -</w:t>
      </w:r>
    </w:p>
    <w:p>
      <w:r>
        <w:t>C/21600/2016 vérifications avant d'invoquer en procédure les novas en question. La doctrine propose parfois d'exiger une réaction extrêmement rapide, par exemple dans les 5,</w:t>
      </w:r>
    </w:p>
    <w:p>
      <w:r>
        <w:rPr>
          <w:b/>
        </w:rPr>
        <w:t>E. 4.2</w:t>
      </w:r>
    </w:p>
    <w:p>
      <w:r>
        <w:t>En l'espèce, les écritures et pièce litigieuses ont été versées à la procédure après l'ouverture des débats principaux, de sorte qu'elles ne pouvaient être admises que si elles étaient invoquées sans retard.</w:t>
      </w:r>
    </w:p>
    <w:p>
      <w:r>
        <w:t>La pièce en question consiste en un rapport de l'Office fédéral allemand de l'environnement daté du 20 septembre 2019. L'appelante fait valoir que la date</w:t>
      </w:r>
    </w:p>
    <w:p>
      <w:r>
        <w:t>- 24/40 -</w:t>
      </w:r>
    </w:p>
    <w:p>
      <w:r>
        <w:t>C/21600/2016 indiquée sur le rapport ne correspond pas nécessairement à sa publication, mais plutôt à un "état (Stand) au 20 septembre 2019". Aucun élément ne permet toutefois de corroborer la version présentée par celle-ci.</w:t>
      </w:r>
    </w:p>
    <w:p>
      <w:r>
        <w:t>La pièce litigieuse, versée à la procédure le 5 décembre 2019, a donc été produite onze semaines après sa publication.</w:t>
      </w:r>
    </w:p>
    <w:p>
      <w:r>
        <w:t>Contrairement à ce que soutient l'appelante, il apparaît peu crédible que celle-ci ait pris connaissance de ce document lorsque C______ AG l'a produite dans le cadre d'une autre procédure, soit le 27 novembre 2019. Si, comme elle le relève, il ne peut en effet être exigé d'une partie qu'elle ait immédiatement connaissance de tout contenu publié dans le monde, il apparaît peu probable que l'appelante, directement impliquée dans l'affaire du logiciel truqueur du groupe automobile allemand C______, n'ait pas porté une attention particulière aux développements de cette affaire en Allemagne.</w:t>
      </w:r>
    </w:p>
    <w:p>
      <w:r>
        <w:t>En tout état, le contenu de cette pièce n'apparaît pas déterminant pour l'issue du litige. Le Tribunal n'ayant pas mésusé de son pouvoir d'appréciation en écartant les écritures et pièce produite par l'appelante le 5 décembre 2019, le chiffre 1 du dispositif du jugement entrepris sera par conséquent confirmé. 5. L'appelante requiert de la Cour, à titre préalable, qu'elle ordonne une contre- expertise, faisant valoir que l'expertise judiciaire n'avait pas été correctement menée, la procédure prévue par les règlements européens applicables n'ayant pas été respectée. Elle remet en cause le principe même d'une expertise, en faisant valoir que le véhicule de l'intimé ne peut faire l'objet d'un tel examen vu l'écoulement du temps depuis son achat et la détérioration matérielle qui en découle. En outre, les exigences techniques auraient requis qu'un tel contrôle se fasse sur plusieurs véhicules et non sur un seul.</w:t>
      </w:r>
    </w:p>
    <w:p>
      <w:r>
        <w:t>Sur le fond, l'appelante conteste l'existence d'un défaut grave ou important et fait valoir, par ailleurs, que les émissions de NOX n'étaient pas une préoccupation pour l'acheteur, de sorte qu'elles ne pouvaient constituer un vice rédhibitoire justifiant la résolution du contrat de vente.</w:t>
      </w:r>
    </w:p>
    <w:p>
      <w:r>
        <w:t>5.1.1 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Il répond de ces défauts, même s'il les ignorait (al. 2).</w:t>
      </w:r>
    </w:p>
    <w:p>
      <w:r>
        <w:t>- 25/40 -</w:t>
      </w:r>
    </w:p>
    <w:p>
      <w:r>
        <w:t>C/21600/2016 Pour que le vendeur soit tenu à garantie, trois conditions doivent être remplies : il faut que la chose présente un défaut, que ce défaut ait été ignoré de l'acheteur et que celui-ci ne l'ait pas accepté. Le défaut doit être antérieur au transfert des risques (TERCIER/BIERI/CARRON, Les contrats spéciaux, 5ème éd., 2016, n° 661), c'est-à-dire antérieur à la conclusion du contrat de vente (VENTURI/ZEN- RUFFINEN, Commentaire romand, Code des obligations I, 2021, n° 9 ad art. 197 CO). La preuve de ces conditions incombe à l'acheteur (TERCIER/BIERI/CARRON, op. cit., n° 656). 5.1.2 Constitue un défaut l'absence d'une qualité dont le vendeur avait promis l'existence ou à laquelle l'acheteur pouvait s'attendre selon les règles de la bonne foi (ATF 114 II 239 consid. 5a/aa et les références citées, JdT 1989 I 162 ; arrêt du Tribunal fédéral 4A_619/2013 du 20 mai 2014 consid. 4.1). Selon la doctrine, il convient de comparer deux états: l’état de la chose qui a été livrée et celui de la chose qui devait être livrée. S’il y a une divergence entre ces deux états, il y a nécessairement défaut (TERCIER/BIERI/CARRON, op. cit., n. 659 ; VENTURI/ZEN- RUFFINEN, Commentaire romand, Code des obligations I, 2e éd., Bâle 2021, n. 2 ad art. 197 CO). Le défaut peut être matériel s'il affecte les propriétés physiques de la chose ou si celle-ci n'a pas l'utilité ou la valeur que l'acheteur en attendait, en raison de l'absence d'une qualité (TERCIER/BIERI/CARRON, op. cit., n. 674 ; VENTURI/ZEN- RUFFINEN, op. cit., n. 4 ad art. 197 CO). Le défaut peut également être de nature économique, soit lorsque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(TERCIER/BIERI/CARRON, op. cit., n. 676 et 678 et les références citées ; VENTURI/ZEN-RUFFINEN, op. cit., n. 5-6 ad art. 197 CO). Il en va ainsi des choses qui ne sont pas conformes aux prescriptions administratives (ATF 95 II 119 consid. 3b, JdT 1970 I 238).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(VENTURI/ZEN-RUFFINEN, op. cit., n. 11- 13 et 15 ad art. 197 CO et les références citées). Une telle promesse peut découler</w:t>
      </w:r>
    </w:p>
    <w:p>
      <w:r>
        <w:t>- 26/40 -</w:t>
      </w:r>
    </w:p>
    <w:p>
      <w:r>
        <w:t>C/21600/2016 d’une publicité contenue dans l’acte de vente si cette dernière comporte des indications suffisamment précises et concrètes sur une propriété déterminée de la chose vendue (ibid., n. 12 ad art. 197 CO).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 attribuée les parties (prix de vente) –, soit l'utilité prévue (VENTURI/ZEN-RUFFINEN, op. cit., n. 17-19 ad art. 197 CO). Le niveau d'exigence quant à la qualité attendue dépend du contenu du contrat, des règles de la bonne foi et des autres circonstances du cas concret. La responsabilité du vendeur est moins stricte pour les qualités attendues que pour les qualités promises. Certains auteurs soulignent qu'il y a en principe une diminution notable de la valeur ou de l'utilité prévue lorsque l'acheteur n'aurait pas conclu le contrat ou l'aurait conclu à des conditions différentes s'il avait connu le défaut (arrêt du Tribunal fédéral 4A_619/2013 du 20 mai 2014 consid. 4.1 et les références citées). 5.1.3 Lorsque les conditions de fond sont réunies, le droit à la garantie existe. Toutefois, si l'acheteur veut conserver son droit, il doit respecter certaines incombances (vérification de la chose et avis des défauts, cf. art. 201 CO) et agir dans les délais de prescription (TERCIER/BIERI/CARRON, op. cit., n. 702). 5.1.4 Lorsque les conditions de fond et d'exercice de la garantie sont réunies, l'acheteur peut faire valoir les droits spécifiques que lui reconnaissent les art. 205 à 209 CO notamment. Aux termes de l'art. 205 al. 1 CO, dans les cas de garantie en raison des défauts de la chose, l’acheteur a le choix ou de faire résilier la vente en exerçant l’action rédhibitoire, ou de réclamer par l’action en réduction de prix une indemnité pour la moins-value. Lorsque l’acheteur a intenté l’action rédhibitoire, le juge peut se borner à réduire le prix s’il estime que la résiliation n’est pas justifiée par les circonstances (art. 205 al. 2 CO). Il s’agit là d’une application des règles de la bonne foi. L’importance du défaut est une « circonstance » importante pour juger du caractère justifié ou non de la résolution. Ainsi, lorsque le défaut consiste en l’absence d’une qualité essentielle ou que la chose est inutilisable, la résolution sera en principe justifiée; s’il y a plusieurs défauts, c’est de l’addition des défauts qu’il faudra tenir compte. D’autres circonstances peuvent cependant intervenir, notamment l’intérêt de l’acheteur et le comportement des parties. Ainsi, la résolution apparaît injustifiée si les désavantages qu’elle entraîne sont disproportionnés par rapport aux avantages qu’en retirerait l’acheteur ou encore si l’acheteur a laissé s’écouler un délai déraisonnable avant d’exercer son droit. Elle</w:t>
      </w:r>
    </w:p>
    <w:p>
      <w:r>
        <w:t>- 27/40 -</w:t>
      </w:r>
    </w:p>
    <w:p>
      <w:r>
        <w:t>C/21600/2016 apparaît en revanche justifiée si la chose est inutilisable, s'il lui manque une qualité importante ou si le vendeur a commis une faute grave ou a dissimulé le défaut. La résolution sera toujours justifiée lorsque la réduction du prix est exclue par la loi (cf. art. 205 al. 3 CO), cela même si la chose conserve son utilité (cas rare en pratique ; VENTURI/ZEN-RUFFINEN, op. cit., n. 12 ad art. 205 CO; TERCIER/BIERI/CARRON, op. cit., n. 768). La résolution entraîne d’abord l’obligation pour les parties de rétablir l’état antérieur au contrat, en se restituant les prestations déjà faites: l’acheteur doit essentiellement restituer la chose (art. 208 al. 1 CO) et le vendeur le prix (art. 208 al. 2 1ère phrase CO). La résolution entraîne ensuite l’obligation pour le vendeur d’indemniser l’acheteur pour le dommage subi (art. 208 al. 2 2ème phrase et al. 3 CO). L'acheteur doit restituer la chose avec les profits qu'il en a retirés (art. 208 al. 1 CO). La jurisprudence retient une indemnité kilométrique pour l'utilisation d'un véhicule (VENTURI/ZEN-RUFFINEN, op. cit., n. 7 ad art. 208 CO). 5.2.1 Les véhicules ne peuvent circuler que s’ils sont en parfait état de fonctionnement et répondent aux prescriptions (art. 29 LCR). Celles-ci sont fixées dans les ordonnances sur les exigences techniques des véhicules (OETV), renvoyant aux normes européennes (notamment le Règlement (CE) no 715/2007 du Parlement européen et du Conseil du 20 juin 2007 relatif à la réception des véhicules à moteur au regard des émissions des véhicules particuliers et utilitaires légers (Euro 5 et Euro 6) et aux informations sur la réparation et l’entretien des véhicules, JO L 171 du 29.6.2007, p. 1; modifié en dernier lieu par le règlement (UE) 2018/858, JO L 151 du 14.6.2018, p. 1). L'art. 93 al. 2 let. a LCR incrimine le fait de conduire un véhicule qui ne répond pas aux prescriptions légales et/ou réglementaires. Si le fait que la date de validité du contrôle antipollution soit échue ne suffit pas pour que le véhicule ne soit pas conforme aux prescriptions, il le sera cependant si les valeurs-limites en matière de gaz d'échappement ne sont concrètement pas respectées (JEANNERET, Commentaire, Les dispositions pénales de la Loi sur la circulation routière (LCR) du 19 décembre 1958, 2007, n. 59 ad art. 93 LCR). L'annexe 2 de l'Ordonnance sur la réception par type des véhicules routiers du 19 juin 1995 (ORT; RS 741.511) consiste en une liste des organes d'expertise. A teneur de cette annexe, O______ AG est compétent pour les "véhicules, châssis, systèmes et composants de véhicules, éléments d’équipement et dispositifs de protection pour les utilisateurs d’un véhicule (…)", les "[m]esures de la fumée et expertises" selon l’art. 41, al. 4 et 5 de l’Ordonnance concernant les exigences techniques requises pour les véhicules routiers du 19 juin 1995 (ci-après OETC; RS 741.41) et la "[f]ixation des récipients à gaz pour le fonctionnement du véhicule". Quant au Laboratoire de gaz d'échappement de la Haute école</w:t>
      </w:r>
    </w:p>
    <w:p>
      <w:r>
        <w:t>- 28/40 -</w:t>
      </w:r>
    </w:p>
    <w:p>
      <w:r>
        <w:t>C/21600/2016 spécialisée de T______, section technique automobile, il est compétent en matière de "mesure de la puissance des moteurs, expertise des émissions de gaz d’échappement et de fumées et mesure de la consommation de carburant". 5.2.2 La Communauté européenne (CE) émet depuis plusieurs décennies des directives pour la réception des véhicules à moteur. Elles visent à établir un marché commun garantissant un niveau de protection élevé en matière de santé, de sécurité, de protection de l'environnement et du consommateur. Dans ce cadre, la CE édite depuis 1992 les normes européennes d'émission des véhicules qui doivent être respectées lors de leur homologation et leur mise en circulation. Dites "normes Euro", elles déterminent les limites et la façon de calculer leurs émissions polluantes sur la base du "nouveau cycle européen de conduite" (en anglais New European Driving Cycle, ou NEDC) jusqu'en 2017-2018, puis sur la base de la procédure d'essai mondiale harmonisée pour les véhicules légers (en anglais Worldwide harmonized Light vehicles Test Procedures, ou WLTP) (cf. TIEFNIG, Le consommateur face au scandale Volkswagen, in Circulation routière 2/2016, p. 50). 5.2.3 Le Règlement (CE) n. 715/2007 du Parlement européen et du Conseil du 20 juin 2007 relatif à la réception des véhicules à moteur au regard des émissions des véhicules particuliers et utilitaires légers (Euro 5 et Euro 6) et aux informations sur la réparation et l'entretien des véhicules établit des exigences techniques communes concernant la réception des véhicules à moteur et de leurs pièces de rechange, comme les dispositifs de rechange de maîtrise de la pollution, au regard de leurs émissions et établit des règles pour la conformité en service, la durabilité des dispositifs de maîtrise de la pollution, des systèmes de diagnostic embarqués, la mesure de la consommation de carburant et l'accessibilité des informations sur la réparation et l'entretien des véhicules (article premier). L'article 4 de ce Règlement fixe les obligations des constructeurs relatives à la réception des véhicules. Il est notamment prévu que les constructeurs veillent à ce que les procédures de réception destinées à vérifier la conformité de la production, la durabilité des dispositifs de maîtrise de la pollution et la conformité en service soient respectées. En outre, les mesures techniques adoptées par le constructeur doivent être telles qu'elles garantissent une limitation effective des émissions au tuyau arrière d'échappement et des émissions par évaporation, conformément audit Règlement, tout au long de la vie normale des véhicules, dans des conditions d'utilisation normales. Les mesures de la conformité en service font l'objet de vérifications pendant une période pouvant atteindre cinq ans ou 100'000 km, au premier des deux termes échus. L'essai de durabilité des dispositifs de maîtrise de la pollution entrepris pour la réception couvre une période de 160'000 km. Pour se conformer à cet essai de durabilité, le constructeur doit avoir la possibilité d'avoir recours au banc d'essai de vieillissement.</w:t>
      </w:r>
    </w:p>
    <w:p>
      <w:r>
        <w:t>- 29/40 -</w:t>
      </w:r>
    </w:p>
    <w:p>
      <w:r>
        <w:t>C/21600/2016 Ce Règlement comprend une annexe composée de différents tableaux, notamment le "Tableau 1" fixant les valeurs limites d'émission "Euro 5" (masse de monoxyde carbone, d'hydrocarbures, d'hydrocarbures non méthaniques, d'oxydes d'azote (NOx), de particules ainsi que de la masse combinée d'hydrocarbures totaux et d'oxydes d'azote (THC + NOx)). Le Règlement (CE) n. 715/2007 est complété par les Règlements (UE) 2017/1151 du 1er juin 2017 et 2017/1347 du 13 juillet 2017. 5.2.4 Le Règlement n. 83 de la Commission économique pour l'Europe des Nations-Unies (CEE-ONU) prévoit des prescriptions uniformes relatives à l'homologation des véhicules en ce qui concerne l'émission de polluants selon les exigences du moteur en matière de carburant. A teneur du paragraphe 5.1.2 de ce Règlement, les moyens techniques mis en œuvre par le constructeur doivent être tels que, conformément aux dispositions dudit Règlement, les véhicules doivent présenter, pendant toute leur durée de vie normale et dans des conditions normales d'utilisation, un taux d'émissions de gaz d'échappement et d'émissions de gaz par évaporation effectivement limité. Pour les émissions à l'échappement, ces conditions sont considérées comme remplies si les dispositions du paragraphe 5.3.1.4 (qui concerne le déroulement de l'essai) et du paragraphe 8.2.3.1 (qui concerne le contrôle de la conformité pour un essai de type I) sont respectivement remplies. Le paragraphe 8 dudit Règlement est consacré à la conformité de la production (COP). Ainsi, tout véhicule portant une marque d'homologation en application du Règlement doit être conforme au type de véhicule quant aux éléments ayant une influence sur les émissions à l'échappement et les émissions par évaporation (paragraphe 8.1). A teneur du paragraphe 8.2.3.1.1, trois véhicules sont prélevés aléatoirement dans la série et sont soumis à l'essai décrit au paragraphe 5.3.1 (essai de type I – simulation des émissions moyennes à l'échappement après un démarrage à froid). L'annexe 4 du Règlement n. 83 décrit la méthode à suivre pour l'essai du type I défini à son paragraphe 5.3.1 et contient des prescriptions quant au cycle d'essai au banc à rouleaux (point 2), au véhicule et au carburant (point 3), à l'appareillage d'essai (point 4), à la préparation de l'essai (point 5), au mode opératoire pour l'essai au banc (point 6) et pour le prélèvement et l'analyse des gaz (point 7), et à la détermination de la quantité de gaz polluants et de particules polluantes émis (poin 8). Son appendice 1 traite de la décomposition séquentielle du cycle de marche pour l'essai du type I.</w:t>
      </w:r>
    </w:p>
    <w:p>
      <w:r>
        <w:t>- 30/40 -</w:t>
      </w:r>
    </w:p>
    <w:p>
      <w:r>
        <w:t>C/21600/2016</w:t>
      </w:r>
    </w:p>
    <w:p>
      <w:r>
        <w:t>L'appendice 3 concerne le contrôle de la conformité en service, et décrit les critères concernant la sélection des véhicules d'essai, et les procédures de contrôle de la conformité en service. A teneur du chiffre 2.4, le véhicule ne doit présenter aucune indication de mauvaise utilisation (par exemple, participation à des compétitions, surcharge, utilisation d'un carburant inadéquat ou autre utilisation incorrecte), ni d'autres facteurs (par exemple, manipulations) qui pourraient avoir une incidence sur le comportement du véhicule en matière d'émissions. Dans le cas d'un véhicule équipé d'un système OBD, les informations concernant le code d'erreur et le kilométrage stockées dans l'ordinateur sont prises en considération. Un véhicule n'est pas sélectionné pour l'essai si les informations stockées dans l'ordinateur montrent que le véhicule a fonctionné après l'enregistrement d'un code d'erreur et qu'il n'a pas été réparé rapidement. Selon le ch. 3.4, la compression est vérifiée. Si le résultat n'est pas satisfaisant, le véhicule est rejeté. 5.3.1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Quant à l’objet de l’expertise, on dira qu’il recouvre tout le champ du savoir qui permet de reconstituer ou d’élucider un point de fait pertinent contesté, et qui échappe en tout ou partie au tribunal, privé des « connaissances spéciales » lui permettant d’apprécier au mieux la vraisemblance d’un fait, en l’état actuel du savoir humain (SCHWEIZER, Commentaire Romand, Code de procédure civile, n. 2 et 11 ad art. 183 CPC). 5.3.2 A teneur de l'art. 188 al. 2 CPC, le tribunal peut, à la demande d'une partie ou d'office, faire compléter ou expliquer un rapport d'expertise lacunaire, peu clair ou insuffisamment motivé, ou faire appel à un autre expert. Le juge apprécie librement la force probante d'une expertise. Dans le domaine des connaissances professionnelles particulières, il ne peut toutefois s'écarter des conclusions de l'expert que pour des motifs importants qu'il lui incombe d'indiquer, par exemple lorsque le rapport d'expertise présente des contradictions ou attribue un sens ou une portée inexacts aux documents et déclarations auxquels il se réfère.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 défaut, en se fondant sur une expertise non concluante, il pourrait commettre une appréciation arbitraire des preuves</w:t>
      </w:r>
    </w:p>
    <w:p>
      <w:r>
        <w:t>- 31/40 -</w:t>
      </w:r>
    </w:p>
    <w:p>
      <w:r>
        <w:t>C/21600/2016 (ATF 146 IV 114 consid. 2.1; 142 IV 40 consid. 2.1.3; arrêt du Tribunal fédéral 5A_381/2020 du 1er septembre 2020 consid. 4.1 et les références citées). Le juge ne doit pas placer ses connaissances au-dessus de celles, spécialisées, de l’expert, et ne doit pas se poser en arbitre d’un conflit d’opinions entre spécialistes, mais peut au contraire, sur les questions techniques, se fier à l’avis motivé de l’expert qu’il a désigné. Il peut en général se limiter à examiner des questions formelles, comme l’existence de motifs de récusation de l’expert ou les contradictions manifestes dans l’expertise, et admettre que pour le reste, il incombe aux parties, dans le cadre de leur devoir de coopération, de remettre en cause les fondements de l’expertise en produisant une expertise privée (arrêt du Tribunal fédéral 4A_202/2014 du 18 février 2015 consid. 4.1). 5.3.3 Conformément à l'art. 316 al. 3 CPC, l'instance d'appel peut librement décider d'administrer des preuves. Cette disposition ne confère toutefois pas à l'appelant un droit à la réouverture de la procédure probatoire et à l'administration de preuves (ATF 138 III 374 consid. 4.3.1).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w:t>
      </w:r>
    </w:p>
    <w:p>
      <w:r>
        <w:t>5.4 En l’espèce, il n'est pas contesté que C______ AG a utilisé un logiciel ayant pour effet que les véhicules concernés, dont celui de l'intimé, émettaient, dans les conditions de test sur le banc d'essai, une quantité d'oxyde d'azote considérablement inférieure à celle émise sur la route, ni que l'appelante a vendu un de ces véhicules à l'intimé, ni encore que l'intimé a bénéficié – sans frais – de la procédure de rappel devant y remédier le 27 février 2017.</w:t>
      </w:r>
    </w:p>
    <w:p>
      <w:r>
        <w:t>Pour que l'intimé puisse exercer l’action rédhibitoire, son véhicule doit présenter un défaut. Partant, il convient d'examiner, en premier lieu, si le problème d'émission trop importante d'oxydes d'azote persiste malgré la mise à jour du logiciel et si cette dernière a éventuellement engendré d'autres problèmes (puissance du moteur, consommation de carburant, performances sur route). 5.4.1 Le Tribunal a considéré que tel était le cas, en se basant sur les résultats de l'expertise. L’appelante, qui conclut à titre préalable à ce qu'une contre-expertise soit ordonnée, critique le principe même d'une expertise. Elle soutient qu'une telle</w:t>
      </w:r>
    </w:p>
    <w:p>
      <w:r>
        <w:t>- 32/40 -</w:t>
      </w:r>
    </w:p>
    <w:p>
      <w:r>
        <w:t>C/21600/2016 mesure d'instruction ne pouvait être ordonnée dans le cas d'espèce pour plusieurs raisons. Tout d'abord, elle se prévaut, à tort, du délai fixé par le Règlement (CEE) n. 715/2007 pour soutenir que, compte tenu de l'écoulement du temps, le véhicule de l'intimé ne pouvait plus être soumis à un tel examen puisque celui-ci concerne les obligations des constructeurs relatives à la réception des véhicules, soit l'acte par lequel les autorités compétentes d'un Etat attestent de la conformité du véhicule aux règlementations concernant les exigences techniques applicables. Si ledit règlement prévoit que les mesures de la conformité en service font l'objet de vérifications pendant une période "pouvant atteindre cinq ans ou 100'000 km" (au premier des termes échus), il n'en demeure pas moins que tout véhicule circulant en Suisse doit continuer de respecter les prescriptions légales et règlementaires, et notamment les valeurs-limites en matière de gaz d'échappement. Une expertise judiciaire apparaît ainsi être une mesure adéquate pour le vérifier, même lorsque le véhicule a été acheté plusieurs années auparavant. L'appelante ne peut rien tirer non plus des prescriptions en matière d'homologation de véhicules, qui prévoient que le contrôle est effectué sur un échantillonnage de véhicules (trois) bénéficiant de la même réception par type, le but de l'expertise n'étant pas de vérifier la conformité d'un modèle ou d'un type de véhicule mais la présence de défauts sur un véhicule en particulier. Enfin, le fait que l'expert a constaté que le moteur du véhicule de l'intimé était plus puissant qu'annoncé par le constructeur ne suffit pas non plus à exclure le principe même d'une expertise, étant rappelé que celle-ci avait notamment pour objet de déterminer si la procédure de rappel avait pu modifier la puissance de son moteur. Quant aux critiques de l'appelante concernant le caractère concluant de l'expertise, en lien précisément avec la question de la puissance du moteur, elles seront examinées ci-après (cf. infra consid. 5.4.2). Ainsi, aucune des raisons avancées par l'appelante ne permet d'exclure le principe d'une expertise. C'est au contraire à juste titre que le premier juge, qui n'était pas suffisamment outillé, de par sa formation et ses connaissances, pour apprécier la question de savoir si le véhicule litigieux respectait les normes environnementales en matière d'émission de gaz d'échappement, notamment, a ordonné une telle mesure d'instruction. 5.4.2 Pour ce faire, il a mandaté un expert compétent en désignant L______ (M______ SA), lequel a fait appel au O______ et à la Haute école spécialisée de T______, soit des organes d’expertise au sens de l’ORT.</w:t>
      </w:r>
    </w:p>
    <w:p>
      <w:r>
        <w:t>- 33/40 -</w:t>
      </w:r>
    </w:p>
    <w:p>
      <w:r>
        <w:t>C/21600/2016 Il n'est pas allégué que l'expert ne disposait pas des garanties suffisantes d'indépendance et d'impartialité. Contrairement aux nombreuses critiques de l'appelante en ce sens, il résulte du rapport d'expertise et des déclarations des experts que les mesures ont été effectuées conformément aux prescriptions figurant dans les règlements précités (en particulier le Règlement n. 83 CEE-ONU), sur la base du nouveau cycle européen de conduite et des informations fournies par l'OFROU. Pour le surplus, ladite expertise a utilement été complétée par l'audition des trois experts. L'appelante formule néanmoins de nombreuses critiques sur la manière dont ont été mesurés les gaz d'échappement et la puissance du moteur du véhicule en question.</w:t>
      </w:r>
    </w:p>
    <w:p>
      <w:r>
        <w:t>Avant d'y répondre, et d'examiner si des objections sérieuses s'imposent sur la cohérence des explications données par l'expert, il y a lieu de relever que les nombreuses explications techniques fournies par l'appelante, formulées en opposition à l'avis exprimé par les experts, ne sont appuyées par aucune pièce permettant de vérifier l'exactitude de ces informations, que ce soit sur la manière d'obtenir une augmentation de la puissance d'un moteur ou sur le mode de fonctionnement des moteurs diesel de type 5______ notamment. Or, si elle entendait remettre en cause les fondements de l'expertise, il incombait à l'appelante de produire un avis étayé, de type expertise privée, à l'appui de sa demande de contre-expertise formulée le 23 juillet 2020, afin de jeter un doute fondé sur la pertinence et la cohérence de l'expertise judiciaire, ce qu'elle n'a pas fait. 5.4.2.1 Dans le cadre de l'examen des émissions de gaz d'échappement, l'appelante reproche en premier lieu à l'expert d'avoir tenu compte d'une masse inertielle de 1'810 kg pour procéder aux mesures demandées. Or, il n'y a aucune raison de penser que l'expert, qui n'est autre que l'organe d'expertise en matière d'émissions de gaz d'échappement selon l'ORT, aurait dû, en réalité, tenir compte du poids réel du véhicule, comme l'entend l'appelante. S______, du Centre de contrôle des gaz d'échappement, n'a d'ailleurs pas laissé la porte ouverte à une telle éventualité, en confirmant, lors de son audition, qu'il s'était fondé sur les réglages d'usine du véhicule et non sur le poids du véhicule, qu'il n'ignorait pas. L'appelante critique ensuite l'expertise en tant qu'elle ne tient pas compte du dysfonctionnement constaté du système Start and Stop ("ausser Betrieb" (hors service) à teneur du rapport). La position de l'appelante, qui soutient que ce dysfonctionnement aurait des conséquences importantes sur les émissions de gaz du véhicule, puisqu'une phase de l'essai simulerait notamment la conduite automobile en milieu urbain et impliquerait par conséquent des arrêts, est</w:t>
      </w:r>
    </w:p>
    <w:p>
      <w:r>
        <w:t>- 34/40 -</w:t>
      </w:r>
    </w:p>
    <w:p>
      <w:r>
        <w:t>C/21600/2016 toutefois contredite par l'avis de l'expert qui, bien qu'il ait indiqué, en audience, que les conséquences seraient "minimes sur les émissions de gaz", n'a pas modifié sa conclusion sur ce point, ce qui n'apparaît pas contradictoire compte tenu du dépassement assez important des valeurs d'oxydes d'azote (32%). Quoi qu'il en soit, la position d'un expert compétent en matière d'émissions de gaz d'échappement selon l'ORT ne saurait être remise en doute sur la base de simples allégations non corroborées par des pièces du dossier. L'appelante formule également des critiques en lien avec le dispositif OBD du véhicule. Elle estime que l'indication "[a]ucun dispositif de diagnostic OBD n'a été fixé au véhicule pendant les tests" figurant dans le rapport d'expertise traduit une méconnaissance de l'expert en matière de technologie automobile, dans la mesure où, selon elle, il ne s'agit pas d'un dispositif "qui se fixe au véhicule ou qui serait susceptible d'être enlevé". Ce grief repose toutefois sur une lecture partielle dudit rapport. En effet, il ressort du rapport d'expertise que le véhicule est bien équipé d'un tel dispositif, l'expert ayant relevé que le "seuil OBD" d'émissions d'oxydes d'azote pour l'activation du témoin n'avait pas été dépassée. L'extrait cité par l'appelante apparaît plutôt avoir été formulé pour indiquer qu'aucun dispositif externe n'avait été branché sur le véhicule durant les essais, ce qui n'est pas critiquable. Par ailleurs, les éventuels réquisits en matière de contrôle de la conformité en service et critères de sélection des véhicules d'essai, notamment les ch. 2.4 (système OBD) et 3.4 (taux de compression du moteur) de l'appendice 3 du Règlement n. 83 invoqué par l'appelante, ne sont pas transposables à la procédure d'expertise judiciaire litigieuse. Pour le surplus, les développements non étayés de l'appelante sur la manière dont fonctionnerait un moteur diesel et les conséquences qu'aurait un taux de compression trop bas ne permettent pas de remettre en cause les fondements de l'expertise. L'appelante allègue ensuite que la batterie joue un rôle important, notamment dans les "phases de démarrage du moteur et au ralenti, soit des phases au cours desquelles les émissions de gaz polluants sont élevées [et qu']un démarrage difficile du moteur a pour conséquence une émission plus importante de tels polluants". Selon elle, il était dès lors essentiel que l'expert procède à un contrôle de la charge de la batterie et la remplace cas échéant. Aucun élément ne permet toutefois de mettre en doute l'avis de l'expert, dont il ressort des déclarations qu'il n'apparaît pas nécessaire de procéder au contrôle de la batterie avant de mesurer les émissions de gaz d'échappement.</w:t>
      </w:r>
    </w:p>
    <w:p>
      <w:r>
        <w:t>L'appelante ajoute encore, "sans être exhaustif, que le véhicule n'a pas été contrôlé avant la procédure d'essai comme le prévoit le Règlement n. 83 (CEE- ONU), que l'huile moteur n'a été ni contrôlée, ni remplacée et qu'il n'a pas été utilisé le carburant de référence prévu (…)".</w:t>
      </w:r>
    </w:p>
    <w:p>
      <w:r>
        <w:t>- 35/40 -</w:t>
      </w:r>
    </w:p>
    <w:p>
      <w:r>
        <w:t>C/21600/2016 S______, pour le Centre de contrôle des gaz d'échappement, a certes admis ne pas avoir utilisé un carburant de référence, pourtant requis par la norme Euro 5. Il a toutefois affirmé que cela n'avait pas eu d'incidence sur les résultats de l'expertise, en expliquant que la composition d'un carburant à la pompe était "très proche" de celle du carburant de référence, et rien ne permet de retenir le contraire. Pour le reste, l'on ne discerne pas sur quelle base l'appelante affirme que l'huile du moteur aurait dû être contrôlée, ou que la procédure suivie par les experts ne serait pas conforme s'agissant du contrôle préalable du véhicule. Sur ce dernier point, il sera relevé qu'il ressort du rapport du O______ qu'il a été procédé à la réception du véhicule et au contrôle des composants avant que les performances soient mesurées, ce qui a été confirmé par l'expert L______ lors de son audition. Par conséquent, l'appelante n'a soulevé aucune objection sérieuse ébranlant le caractère concluant de l'expertise en lien avec les émissions de gaz d'échappement. 5.4.2.2 S'agissant de la question de la puissance du moteur, l'appelante reproche aux experts de ne pas avoir fourni d'explication au résultat constaté, soit que la puissance réelle du moteur était supérieure de 15,5% à 20,1% à celle déclarée par le constructeur. La mission d'expertise consistait notamment à déterminer si les correctifs effectués avaient modifié la puissance du moteur. Si l'expert n'a pas été en mesure d'indiquer si la procédure de rappel était la cause de cette augmentation de puissance, ne disposant pas des valeurs avant ledit correctif, il n'en demeure pas moins que la puissance constatée est supérieure à celle indiquée dans les documents d'homologation. Compte tenu de la situation d'espèce, soit l'utilisation par un groupe automobile de techniques visant à réduire frauduleusement les émissions de certains de ses moteurs lors des essais d'homologation, la thèse avancée par l'appelante, soit que l'intimé pourrait être à l'origine d'une modification de son véhicule, n'apparaît pas crédible. En particulier, il ne saurait être reproché aux experts de ne pas avoir cherché d'autres explications – au demeurant peu vraisemblables comme l'ont affirmé l'expert L______ et le O______. L'appelante n'avait d'ailleurs pas envisagé une telle hypothèse, dans le cadre de ses conclusions sur expertise du 31 août 2018. L'appelante n'a d'autre part pas jugé utile d'interroger les experts, en particulier S______, sur l'éventuelle corrélation entre la puissance du moteur et ses émissions de gaz. Ses développements à ce sujet, non étayés par des pièces, ne permettent pas de retenir un tel lien.</w:t>
      </w:r>
    </w:p>
    <w:p>
      <w:r>
        <w:t>- 36/40 -</w:t>
      </w:r>
    </w:p>
    <w:p>
      <w:r>
        <w:t>C/21600/2016</w:t>
      </w:r>
    </w:p>
    <w:p>
      <w:r>
        <w:t>Enfin, il est admis que, selon les informations disponibles sur le site internet de C______, le véhicule de l'intimé se caractérise notamment par une puissance motrice élevée. L'expert N______ (O______) a d'ailleurs déclaré que, d'après son expérience, la puissance du moteur des véhicules à turbocompresseur était plus élevée que celle annoncée par les constructeurs.</w:t>
      </w:r>
    </w:p>
    <w:p>
      <w:r>
        <w:t>Par conséquent, l'appelante n'a soulevé aucune objection sérieuse ébranlant le caractère concluant de l'expertise en lien avec la puissance du moteur. 5.4.3 Le Tribunal n'avait dès lors aucune raison de s'écarter de l'expertise, qui ne présente pas de contradictions manifestes. La Cour parvient à la même conclusion. Pour les mêmes motifs, il n'y a pas non plus lieu d'ordonner la contre-expertise requise par l'appelante au stade de la seconde instance. Celle-ci sera déboutée des conclusions prises à cet effet.</w:t>
      </w:r>
    </w:p>
    <w:p>
      <w:r>
        <w:t>5.4.4 Reste à examiner si c'est à juste titre que le Tribunal a considéré que l'exercice de l'action rédhibitoire par l'intimé était justifié en l'occurrence. L'intimé a acheté un véhicule C______/1______ 7______ Technology 1.6 litre TDI à l'appelante, de sorte que les parties sont liées par un contrat de vente.</w:t>
      </w:r>
    </w:p>
    <w:p>
      <w:r>
        <w:t>Pour que l'appelante soit tenue à garantie, il faut, en premier lieu, que le véhicule présente un défaut. Le Tribunal a retenu, sans être critiqué sur ce point, que le "TDI" désignait, à teneur du site internet de C______, des véhicules diesel dont le moteur se distinguait par une économie de carburant, de faibles émissions, une puissance motrice élevée et un très bon rendement.</w:t>
      </w:r>
    </w:p>
    <w:p>
      <w:r>
        <w:t>Il n'est par ailleurs pas contesté que C______ a utilisé un logiciel ayant pour effet que les véhicules diesel concernés, et notamment celui de l'intimé, émettaient sur le banc d'essai, une quantité d'oxyde d'azote considérablement inférieure à celle qu'ils émettaient sur la route.</w:t>
      </w:r>
    </w:p>
    <w:p>
      <w:r>
        <w:t>L'intimé a, dans ce contexte, soulevé un défaut de son véhicule lié à ses émissions de gaz polluants.</w:t>
      </w:r>
    </w:p>
    <w:p>
      <w:r>
        <w:t>Il résulte de l'expertise, dont la force probante a été admise supra (consid. 5.4.3), que la masse d'oxydes d'azote (NOX) et la masse combinée d'hydrocarbures totaux et d'oxydes d'azote (THC + NOX) émises par le moteur du véhicule de l'intimé sont supérieures aux limites fixées par la norme Euro 5.</w:t>
      </w:r>
    </w:p>
    <w:p>
      <w:r>
        <w:t>Le véhicule de l'intimé présente donc un défaut.</w:t>
      </w:r>
    </w:p>
    <w:p>
      <w:r>
        <w:t>- 37/40 -</w:t>
      </w:r>
    </w:p>
    <w:p>
      <w:r>
        <w:t>C/21600/2016</w:t>
      </w:r>
    </w:p>
    <w:p>
      <w:r>
        <w:t>Même à suivre l'appelante, qui soutient que les émissions d'oxydes d'azote n'étaient pas une préoccupation pour l'intimé, et à retenir que ce dernier n'a pas établi son intérêt particulier pour un véhicule "vert", il n'en demeure pas moins qu'un moteur qui n'est pas conforme aux prescriptions légales est un moteur affecté d'un défaut. Le fait que ledit véhicule ne se soit pas vu retirer son autorisation de circuler n'y change rien.</w:t>
      </w:r>
    </w:p>
    <w:p>
      <w:r>
        <w:t>La réalisation des deux autres conditions (défaut ignoré et non accepté par l'acheteur) n'étant par ailleurs pas remise en cause, à juste titre, par les parties, les conditions de fond sont réunies pour ouvrir le droit à la garantie.</w:t>
      </w:r>
    </w:p>
    <w:p>
      <w:r>
        <w:t>Pour le surplus, il n'est pas contesté que l'intimé a régulièrement procédé à un avis des défauts et que son droit n'est pas prescrit.</w:t>
      </w:r>
    </w:p>
    <w:p>
      <w:r>
        <w:t>Reste à examiner si la résolution du contrat est, en l'espèce, justifiée par les circonstances.</w:t>
      </w:r>
    </w:p>
    <w:p>
      <w:r>
        <w:t>L'appelante soutient que le défaut dont se prévaut l'intimé n'a jamais entravé, d'une quelconque manière, l'usage de la chose vendue, que l'intimé dispose d'un véhicule de fonction également équipé d'un moteur diesel et qu'il a continué d'utiliser le véhicule litigieux, même après avoir pris connaissance du prétendu défaut. Ces circonstances démontreraient le caractère injustifié de la résolution du contrat.</w:t>
      </w:r>
    </w:p>
    <w:p>
      <w:r>
        <w:t>Certes, le véhicule de l'intimé est toujours, administrativement, autorisé à circuler. Il n'en demeure pas moins qu'il ne répond pas aux normes fixées par les ordonnances techniques et que, par conséquent, l'intimé est susceptible de commettre une infraction. Dans de telles circonstances, la résolution de la vente apparaît justifiée. Les autres éléments avancés par l'appelante ne sont pas susceptibles de modifier ce constat. En effet, le fait que l'acheteur continue d'utiliser la voiture après avoir intenté l'action rédhibitoire ne suffit pas à exclure l'exercice de l'action rédhibitoire, la jurisprudence prévoyant une indemnité kilométrique pour l'utilisation ultérieure d'un véhicule. Quant au fait que l'intimé ait disposé d'un véhicule de fonction équipé d'un moteur diesel, rien n'indique que l'automobile en question ne respecte pas les exigences techniques. Les motivations de l'intimé pour l'achat de ce véhicule ne sont pas non plus pertinentes. Ce d'autant que la présente cause s'inscrit dans un contexte particulier, soit un scandale industriel et sanitaire lié à l'utilisation par C______ de différentes techniques visant à réduire frauduleusement les émissions polluantes de ses moteurs lors des essais d'homologation.</w:t>
      </w:r>
    </w:p>
    <w:p>
      <w:r>
        <w:t>- 38/40 -</w:t>
      </w:r>
    </w:p>
    <w:p>
      <w:r>
        <w:t>C/21600/2016</w:t>
      </w:r>
    </w:p>
    <w:p>
      <w:r>
        <w:t>Au vu de ce qui précède, c'est à juste titre que le Tribunal a considéré que l'intimé était légitimé à exercer l'action rédhibitoire.</w:t>
      </w:r>
    </w:p>
    <w:p>
      <w:r>
        <w:t>L'appelante ne critique pas le calcul opéré par le premier juge pour arrêter le montant dû par le vendeur, en particulier l'indice kilométrique retenu, de sorte qu'il n'y a pas lieu de revenir sur ce point. 5.4.5 Le jugement entrepris sera par conséquent confirmé. 6. Les frais judiciaires d'appel seront arrêtés à 3'000 fr. (art. 17 et 35 RTFMC) et mis à la charge de l'appelante, qui succombe (art. 106 al. 1 CPC). Ils seront partiellement compensés avec l'avance de frais de 1'800 fr. fournie par elle, laquelle reste acquise à l'Etat de Genève (art. 111 al. 1 CPC). L'appelante sera condamnée à verser le solde de 1'200 fr. à l'Etat de Genève, soit pour lui les Services financiers du Pouvoir judiciaire. L'appelante sera également condamnée à verser des dépens d'appel à l'intimé, d'un montant de 3'000 fr. (art. 85 et 90 RTFMC), débours et TVA inclus (art. 25 et 26 LaCC). * * * * *</w:t>
      </w:r>
    </w:p>
    <w:p>
      <w:r>
        <w:t>- 39/40 -</w:t>
      </w:r>
    </w:p>
    <w:p>
      <w:r>
        <w:t>C/21600/2016</w:t>
      </w:r>
    </w:p>
    <w:p>
      <w:r>
        <w:t>PAR CES MOTIFS, La Chambre civile : A la forme : Déclare recevable l'appel interjeté le 24 novembre 2021 par A______ SA contre le jugement JTPI/13464/2021 rendu le 21 octobre 2021 par le Tribunal de première instance dans la cause C/21600/2016. Préalablement : Ordonne la substitution de la partie appelante, en ce sens que la société A______ SA, inscrite sous n° CHE 4______, s'est substituée à la société A______ SA, devenue A______ IMPORT AG, inscrite sous n° CHE 3______. Au fond : Confirme le jugement entrepris. Déboute les parties de toutes autres conclusions. Sur les frais : Arrête les frais judiciaires d'appel à 3'000 fr., les met à la charge de A______ SA et les compense partiellement avec l'avance de frais de 1'800 fr. fournie par elle, laquelle reste acquise à l'Etat de Genève. Condamne A______ SA à verser à 1'200 fr. à l'Etat de Genève, soit pour lui les Services financiers du Pouvoir judiciaire. Condamne A______ SA à verser 3'000 fr. à B______ à titre de dépens d'appel. Siégeant : Madame Ursula ZEHETBAUER GHAVAMI, présidente; Madame Nathalie RAPP, Monsieur Jean REYMOND, juges; Madame Camille LESTEVEN, greffière.</w:t>
      </w:r>
    </w:p>
    <w:p>
      <w:r>
        <w:t>La présidente : Ursula ZEHETBAUER GHAVAMI</w:t>
      </w:r>
    </w:p>
    <w:p>
      <w:r>
        <w:t>La greffière : Camille LESTEVEN</w:t>
      </w:r>
    </w:p>
    <w:p>
      <w:r>
        <w:t>- 40/40 -</w:t>
      </w:r>
    </w:p>
    <w:p>
      <w:r>
        <w:t>C/21600/2016</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r>
        <w:t>Valeur litigieuse des conclusions pécuniaires au sens de la LTF inférieure à 30'000 fr.</w:t>
      </w:r>
    </w:p>
    <w:p>
      <w:r>
        <w:rPr>
          <w:b/>
        </w:rPr>
        <w:t>E. 7</w:t>
      </w:r>
    </w:p>
    <w:p>
      <w:r>
        <w:t>ou 10 jours. Selon un arrêt du Tribunal fédéral, le délai de 10 à 20 jours évoqué par la jurisprudence en matière de réplique spontanée n'est pas transposable dans une affaire complexe où une demanderesse avait présenté des novas occasionnés par des allégations adverses introduites à la fin d'un deuxième échange d'écritures : le Tribunal fédéral a estimé qu'alléguer ces novas une trentaine de jours après la réception de la duplique ne les rendait pas encore irrecevables faute d'avoir été invoqués sans retard (arrêt du Tribunal fédéral 4A_61/2017 du 31 août 2017; le délai de 10 à 20 jours précité n'avait en revanche pas été exclu dans un arrêt antérieur relatif à la diligence à respecter pour évoquer des novas en appel; arrêt du Tribunal fédéral 4A_707/2016 du 29 mai 2017, RSPC 2017 438). TAPPY retient que cette exigence exclut en tout cas de laisser s'écouler plus de quelques semaines. Il ne sera dès lors pas toujours possible d'attendre la prochaine audience si celle-ci n'est pas prévue avant longtemps. WILLISEGGER semble au contraire déduire de la forme orale en principe prévue pour les compléments aux allégations et offres de preuve, lorsqu'il n'a pas été ordonné de deuxième échange d'écritures, qu'il suffirait toujours d'agir à la prochaine audience, qu'il s'agisse de premières plaidoiries, d'une audience d'administration des preuves ou des plaidoiries finales (cf. Basler Kommentar, ZPO, 2017, n. 34 et 53 ad art.229). Il faudrait au moins présumer que des novas sont invoqués avec retard si la partie concernée a participé à une audience, par exemple de premières plaidoiries, sans demander à les introduire alors qu'elle en aurait déjà eu la possibilité (TAPPY, Commentaire romand, Code de procédure civile, 2019, n. 9 ad art. 229 CPC et les références). Le dies a quo permettant d’apprécier si une partie a réagi sans retard dépend du type de novas dont il s’agit : pour les novas proprement dits, il s’agit généralement, lorsque ces faits ont été immédiatement connus de l’intéressé, du moment où ils se sont produits. Pour les novas improprement dits, il faudrait partir, selon TAPPY, du moment où un plaideur faisant preuve d’une diligence normale aurait dû faire état des éléments concernés, soit du moment où il aurait pu se rendre compte de leur pertinence (ce qui pourra dépendre notamment de déterminations ou d’allégations de la partie adverse) ou de celui où il aurait pu apprendre l’existence des faits ou preuves concernés (TAPPY, op. cit., n. 10 ad art. 229 CPC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