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ACJC/885/2023 vom 3. Juli 2023</w:t>
      </w:r>
    </w:p>
    <w:p>
      <w:r>
        <w:t>GE Cour de justice, 2023-07-03, FR</w:t>
      </w:r>
    </w:p>
    <w:p>
      <w:r>
        <w:rPr>
          <w:b/>
        </w:rPr>
        <w:t xml:space="preserve">Quelle: </w:t>
      </w:r>
      <w:r>
        <w:t>https://mcp.opencaselaw.ch/entscheid/ge_gerichte_ACJC_885_2023</w:t>
      </w:r>
    </w:p>
    <w:p>
      <w:r>
        <w:t>FR: GE_GERICHTE ACJC/885/2023 du 3 juillet 2023</w:t>
      </w:r>
    </w:p>
    <w:p>
      <w:r>
        <w:t>IT: GE_GERICHTE ACJC/885/2023 del 3 luglio 2023</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w:t>
      </w:r>
    </w:p>
    <w:p>
      <w:r>
        <w:t>- 6/13 -</w:t>
      </w:r>
    </w:p>
    <w:p>
      <w:r>
        <w:t>C/20779/2021 Les jugements de mesures protectrices étant régis par la procédure sommaire selon l'art. 271 CPC, le délai d'introduction de l'appel est de dix jours (art. 314 al. 1 CPC). Conformément à l'art. 311 al. 1 CPC, l'appel doit être motivé. Pour satisfaire à cette 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5A_356/2020 du 9 juillet 2020 consid. 3.2).</w:t>
      </w:r>
    </w:p>
    <w:p>
      <w:r>
        <w:rPr>
          <w:b/>
        </w:rPr>
        <w:t>E. 1.2</w:t>
      </w:r>
    </w:p>
    <w:p>
      <w:r>
        <w:t>En l'espèce, l'appel a été introduit en temps utile et porte sur des conclusions qui, capitalisées selon l'art. 92 al. 2 CPC, sont supérieures à 10'000 fr. La voie de l'appel est ainsi ouverte. L'appelante remet en cause le chiffre 3 du dispositif de la décision déférée. Sur ce point, l'appel est dûment motivé, de sorte qu'il est recevable. Tel n'est en revanche pas le cas de l'appel formé contre le chiffre 4 dudit dispositif. En effet, l'acte d'appel ne comporte aucune critique du jugement ni aucune motivation. L'appel est ainsi irrecevable sur ce point. Sont également recevables les écritures responsives ainsi que les déterminations subséquentes des parties (art. 312 al. 1, 314 al. 1 et 316 al. 2 CPC; ATF 137 I 195 consid. 2.3.1 = SJ 2011 I 345). L'intimé peut lui aussi, sans introduire d'appel joint,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w:t>
      </w:r>
    </w:p>
    <w:p>
      <w:r>
        <w:rPr>
          <w:b/>
        </w:rPr>
        <w:t>E. 1.3</w:t>
      </w:r>
    </w:p>
    <w:p>
      <w:r>
        <w:t>La Cour revoit la cause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 La procédure, qui porte sur la contribution d'entretien en faveur du conjoint, est soumise aux maximes inquisitoire (art. 272 CPC; ATF 129 III 417 précité; arrêt du Tribunal fédéral 5A_245/2019 du 1er juillet 2019 consid. 3.2.1) et de disposition (art. 58 al. 1 CPC; ATF 128 III 411 consid. 3.2.2).</w:t>
      </w:r>
    </w:p>
    <w:p>
      <w:r>
        <w:t>- 7/13 -</w:t>
      </w:r>
    </w:p>
    <w:p>
      <w:r>
        <w:t>C/20779/2021</w:t>
      </w:r>
    </w:p>
    <w:p>
      <w:r>
        <w:rPr>
          <w:b/>
        </w:rPr>
        <w:t>E. 1.4</w:t>
      </w:r>
    </w:p>
    <w:p>
      <w:r>
        <w:t>Les mesures protectrices de l'union conjugale sont ordonnées à la suite d'une procédure sommaire, avec administration restreinte des moyens de preuve et limitation du degré de la preuve à la simple vraisemblance. Il suffit donc que les faits soient rendus plausibles (ATF 138 III 97 consid. 3.4.2 127 III 474 consid. 2b/bb; arrêt du Tribunal fédéral 5A_396/2022 du 20 décembre 2022 consid. 3.1). Il incombe à chaque époux de communiquer tous les renseignements relatifs à sa situation personnelle et économique, accompagnés des justificatifs utiles, permettant ensuite d'arrêter la contribution en faveur de la famille (BRÄM/HASENBÖHLER, Zürcher Kommentar, n. 8-10 ad art. 180 CC). La cognition du juge est limitée à la simple vraisemblance des faits et à un examen sommaire du droit, l'exigence de célérité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w:t>
      </w:r>
    </w:p>
    <w:p>
      <w:r>
        <w:rPr>
          <w:b/>
        </w:rPr>
        <w:t>E. 1.5</w:t>
      </w:r>
    </w:p>
    <w:p>
      <w:r>
        <w:t>La Cour applique le droit d'office (art. 57 CPC). Conformément à l'art. 311 al. 1 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2</w:t>
      </w:r>
    </w:p>
    <w:p>
      <w:r>
        <w:t>Les parties ont produit des pièces nouvelles en appel.</w:t>
      </w:r>
    </w:p>
    <w:p>
      <w:r>
        <w:rPr>
          <w:b/>
        </w:rPr>
        <w:t>E. 2.1</w:t>
      </w:r>
    </w:p>
    <w:p>
      <w:r>
        <w:t>La Cour examine d'office la recevabilité des faits et moyens de preuve nouveaux ainsi que des conclusions nouvelles en appel (REETZ/HILBER, Kommentar zur Schweizerischen Zivilprozessordnung, 2016, n. 26 ad art. 317 CPC).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arrêt du Tribunal fédéral 4A_239/2021 du 16 décembre 2022 consid. 4.2.1). S'agissant des vrais nova ("echte Noven"), la condition de nouveauté posée par la lettre b est sans autre réalisée et seule celle d'allégation immédiate doit être examinée. En ce qui concerne les pseudo nova ("unechte Noven"), à savoir les faits et moyens de preuves qui étaient déjà survenus à la fin de l'audience des débats principaux de</w:t>
      </w:r>
    </w:p>
    <w:p>
      <w:r>
        <w:t>- 8/13 -</w:t>
      </w:r>
    </w:p>
    <w:p>
      <w:r>
        <w:t>C/20779/2021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w:t>
      </w:r>
    </w:p>
    <w:p>
      <w:r>
        <w:rPr>
          <w:b/>
        </w:rPr>
        <w:t>E. 2.2</w:t>
      </w:r>
    </w:p>
    <w:p>
      <w:r>
        <w:t>En l'espèce, la pièce n. 56, datée du 22 novembre 2021, produite par l'appelante à l'appui de son appel est irrecevable, ainsi que les faits s'y rapportant, dès lors qu'elle aurait dû être produite devant le premier juge. L'appelante n'a par ailleurs pas explicité pour quelles raisons elle aurait été empêchée de procéder ainsi. Le compte-rendu du suivi médical établi par le Docteur F______ le 23 septembre 2022, ainsi que l'avis de taxation du couple de l'année 2021 établi par l'Administration fiscale genevoise le 5 septembre 2022 versés par l'intimé à l'appui de sa réponse auraient dû être produits devant le premier juge, lors de l'audience du 27 septembre 2022. L'intimé ne soutient pas qu'il aurait été empêché de le faire, de sorte que ces pièces sont irrecevables. La recevabilité de la pièce produite par l'appelante le 24 janvier 2023 peut souffrir de demeure indécise dès lors qu'elle n'est pas pertinente pour l'issue du litige.</w:t>
      </w:r>
    </w:p>
    <w:p>
      <w:r>
        <w:t>Les pièces n. 1 et 2 versées par l'intimé à l'appui de sa duplique datent de 2017 et 2018 et auraient dues être remises au Tribunal, de sorte qu'elles sont irrecevables, ainsi que les faits qui s'y rapportent. Les pièces 3 et 4, établies après que la cause ait été gardée à juger par le premier juge, sont pour leur part recevables. Quant aux pièces nouvellement produites par l'appelante le 3 mars 2023 à l'appui de ses déterminations spontanées, elles sont recevables, sans préjudice de leur pertinence pour l'issue du litige.</w:t>
      </w:r>
    </w:p>
    <w:p>
      <w:r>
        <w:rPr>
          <w:b/>
        </w:rPr>
        <w:t>E. 3</w:t>
      </w:r>
    </w:p>
    <w:p>
      <w:r>
        <w:t>La cause présente un élément d'extranéité en raison du domicile de l'intimé en France. Les parties ne contestent, à juste titre, pas la compétence des autorités judiciaires genevoises (art. 46 LDIP) ni l'application du droit suisse (art. 48 al. 1 et 49 LDIP; art. 4 de la Convention de La Haye du 2 octobre 1973 sur la loi applicable aux obligations alimentaires) au présent litige.</w:t>
      </w:r>
    </w:p>
    <w:p>
      <w:r>
        <w:rPr>
          <w:b/>
        </w:rPr>
        <w:t>E. 4</w:t>
      </w:r>
    </w:p>
    <w:p>
      <w:r>
        <w:t>L'intimé sollicite, préalablement, la production par l'appelante de ses relevés de tous ses avoirs bancaires des douze derniers mois et de son capital 3ème pilier.</w:t>
      </w:r>
    </w:p>
    <w:p>
      <w:r>
        <w:rPr>
          <w:b/>
        </w:rPr>
        <w:t>E. 4.1</w:t>
      </w:r>
    </w:p>
    <w:p>
      <w:r>
        <w:t>Conformément à l'art. 316 al. 3 CPC, l'instance d'appel peut librement décider d'administrer des preuves.</w:t>
      </w:r>
    </w:p>
    <w:p>
      <w:r>
        <w:t>- 9/13 -</w:t>
      </w:r>
    </w:p>
    <w:p>
      <w:r>
        <w:t>C/20779/2021 Elle peut néanmoins renoncer à ordonner une mesure d'instruction lorsque le requérant n'a pas suffisamment motivé sa requête (ATF 138 III 374 consid. 4.3) ou, d'après une appréciation anticipée des preuves, lorsque celle-ci est manifestement inadéquate, porte sur un fait non pertinent ou n'est pas de nature à ébranler la conviction qu'elle a acquise sur la base des éléments déjà recueillis (arrêt du Tribunal fédéral 5A_983/2019 du 13 novembre 2020 consid. 6.1). L'autorité jouit d'un large pouvoir d'appréciation (ATF 142 III 413 consid. 2.2.1). En règle générale, la procédure d'appel est menée purement sur dossier, sans tenue d'une audience ni administration de preuves (ATF 142 III 413 consid. 2.2.1).</w:t>
      </w:r>
    </w:p>
    <w:p>
      <w:r>
        <w:rPr>
          <w:b/>
        </w:rPr>
        <w:t>E. 4.2</w:t>
      </w:r>
    </w:p>
    <w:p>
      <w:r>
        <w:t>En l'espèce, la Cour est suffisamment renseignée sur la situation financière de l'appelante pour trancher les questions qui lui sont soumises, étant rappelé que son examen est limité à la vraisemblance des faits, vu la nature sommaire de la procédure. La cause étant en état d'être jugée, la requête préalable de l'intimé sera rejetée.</w:t>
      </w:r>
    </w:p>
    <w:p>
      <w:r>
        <w:rPr>
          <w:b/>
        </w:rPr>
        <w:t>E. 5</w:t>
      </w:r>
    </w:p>
    <w:p>
      <w:r>
        <w:t>L'appelante remet en cause la contribution d'entretien retenue par le Tribunal et lui reproche de ne pas avoir imputé de revenu hypothétique à l'intimé.</w:t>
      </w:r>
    </w:p>
    <w:p>
      <w:r>
        <w:rPr>
          <w:b/>
        </w:rPr>
        <w:t>E. 5.1</w:t>
      </w:r>
    </w:p>
    <w:p>
      <w:r>
        <w:t>Lorsque le juge constate que la suspension de la vie commune est fondée, il fixe la contribution pécuniaire à verser par une partie à l'autre (art. 176 al. 1 ch. 1 CC).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w:t>
      </w:r>
    </w:p>
    <w:p>
      <w:r>
        <w:rPr>
          <w:b/>
        </w:rPr>
        <w:t>E. 5.2</w:t>
      </w:r>
    </w:p>
    <w:p>
      <w:r>
        <w:t>Dans trois arrêts publiés récents (ATF 147 III 265, partiellement traduit in SJ 2021 I 316; 147 III 293 et 147 III 301), le Tribunal fédéral a posé, pour toute la Suisse, une méthode de calcul uniforme des contributions d'entretien du droit de la famille – soit la méthode du minimum vital avec répartition de l'excédent (dite en deux étapes).</w:t>
      </w:r>
    </w:p>
    <w:p>
      <w:r>
        <w:t>- 10/13 -</w:t>
      </w:r>
    </w:p>
    <w:p>
      <w:r>
        <w:t>C/20779/2021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soit notamment les allocations familiales ou d'études (arrêt du Tribunal fédéral 5A_372/2016 du 18 novembre 2016 consid. 5.1.1). Ensuite, il s'agit de déterminer les besoins de l'enfant dont l'entretien est examiné, c'est-à-dire le montant de son entretien convenable. Celui- 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L'excédent doit en principe être réparti entre les parents et les enfants mineurs par "grandes têtes" et "petites têtes", la part d'un enfant correspondant à la moitié de celle d'un parent. L'éventuel excédent est ensuite réparti de manière équitable en fonction de la situation concrète, en tenant compte de toutes les circonstances entourant la prise en charge de l'enfant (ATF 147 III 265 précité consid. 7 et 7.1). Dans le calcul des besoins, le point de départ est le minimum vital du droit des poursuites, comprenant l'entretien de base selon les normes d'insaisissabilité (NI 2022,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w:t>
      </w:r>
    </w:p>
    <w:p>
      <w:r>
        <w:rPr>
          <w:b/>
        </w:rPr>
        <w:t>E. 5.3</w:t>
      </w:r>
    </w:p>
    <w:p>
      <w:r>
        <w:t>Le juge doit en principe tenir compte du revenu effectif des parties, tant le débiteur d'entretien que le créancier pouvant néanmoins se voir imputer un revenu hypothétique supérieur dans la mesure où s'agissant de l'obligation d'entretien d'un enfant mineur, les exigences à l'égard des père et mère sont plus élevées, en sorte</w:t>
      </w:r>
    </w:p>
    <w:p>
      <w:r>
        <w:t>- 11/13 -</w:t>
      </w:r>
    </w:p>
    <w:p>
      <w:r>
        <w:t>C/20779/2021 que ceux-ci doivent réellement épuiser leur capacité maximale de travail. Il s'agit ainsi d'inciter la personne à réaliser le revenu qu'elle est en mesure de se procurer et qu'on peut raisonnablement exiger d'elle afin de remplir ses obligations (ATF 143 III 233 consid. 3.2; 137 III 102 consid. 4.2.2.2; arrêts du Tribunal fédéral 5A_754/2020 du 10 août 2021 consid. 4.3.2; 5A_484/2020 du 16 février 2021 consid. 5.1; 5A_600/2019 du 9 décembre 2020 consid. 5.1.1). Lorsqu'il entend tenir compte d'un revenu hypothétique, le juge doit déterminer, en premier lieu, si l'on peut raisonnablement exiger du conjoint concerné qu'il exerce une activité lucrative ou augmente celle-ci eu égard, notamment, à sa formation, à son âge et à son état de santé, en précisant le type d'activité professionnelle que cette personne peut raisonnablement devoir accomplir. Le juge doit ensuite examiner si cette personne a la possibilité effective d'exercer l'activité ainsi déterminée et quel revenu elle peut en obtenir, compte tenu des circonstances subjectives susmentionnées ainsi que du marché du travail (ATF 143 III 233 consid. 3.2; 137 III 102 consid. 4.2.2.2; 128 III 4 consid. 4c/bb; arrêts du Tribunal fédéral 5A_466/2019 du 25 septembre 2019; 5A_337/2019 du 12 août 2019 consid. 3.1).</w:t>
      </w:r>
    </w:p>
    <w:p>
      <w:r>
        <w:rPr>
          <w:b/>
        </w:rPr>
        <w:t>E. 5.4</w:t>
      </w:r>
    </w:p>
    <w:p>
      <w:r>
        <w:t>Dans le présent cas, l'intimé âgé de 62 ans, est vétérinaire de formation. Depuis le 1er juin 2021, il perçoit des indemnités de chômage de 1'552 fr. par mois. Il résulte des titres versés à la procédure que le délai-cadre du droit aux allocations s'étend du 1er juin 2021 au 31 mai 2023. Le solde de droit d'élevait à 71,5 jours au 7 octobre 2022, de sorte que le droit auxdites indemnités a pris fin début janvier 2023. L'intimé a déclaré qu'il percevrait une retraite anticipée française dès janvier 2023 d'un montant mensuel correspondant à 800 fr. A ce montant s'ajoute, comme l'allègue l'appelante, le montant de la retraite complémentaire de M______, de EUR 261.91 par trimestre, soit EUR 87.30 par mois, représentant 87 fr. Il sera dès lors retenu que les ressources de l'intimé se sont élevées à 1'552 fr. jusqu'à début janvier 2023, puis à 887 fr. dès cette date. Les allégations de l'appelante en lien avec les activités professionnelles de son époux depuis 2010 ne sont pas pertinentes pour l'issue de litige, de sorte qu'elles ne seront pas examinées plus avant. Il ne peut par ailleurs pas être reproché à l'intimé de bénéficier d'une retraite anticipée en France, les règles légales étant différentes de celles prévalant en Suisse. En ce qui concerne l'imputation d'un revenu hypothétique à l'intimé, et dans la mesure où il est retraité depuis janvier 2023, il ne peut être retenu qu'il soit en mesure de percevoir des revenus supérieurs aux rentes perçues, dès lors que l'intimé ne peut plus exercer d'activité lucrative. En tout état, il résulte du certificat médical produit par l'intimé en procédure d'appel que son état de santé n'est pas compatible avec la pratique d'une activité chirurgicale vétérinaire.</w:t>
      </w:r>
    </w:p>
    <w:p>
      <w:r>
        <w:t>- 12/13 -</w:t>
      </w:r>
    </w:p>
    <w:p>
      <w:r>
        <w:t>C/20779/2021 Les revenus et les charges des parties tels qu'arrêtés par le Tribunal ne sont pas contestés, de sorte qu'ils ne seront pas revus.</w:t>
      </w:r>
    </w:p>
    <w:p>
      <w:r>
        <w:rPr>
          <w:b/>
        </w:rPr>
        <w:t>E. 5.5</w:t>
      </w:r>
    </w:p>
    <w:p>
      <w:r>
        <w:t>Par conséquent, le jugement, en tant qu'il condamne l'appelante à verser en mains de l'intimé une contribution à son entretien de 305 fr. du prononcé du jugement (1er novembre 2022) jusqu'à la fin de l'année 2022 puis de 1'057 fr. dès janvier 2023 sera confirmé.</w:t>
      </w:r>
    </w:p>
    <w:p>
      <w:r>
        <w:rPr>
          <w:b/>
        </w:rPr>
        <w:t>E. 6</w:t>
      </w:r>
    </w:p>
    <w:p>
      <w:r>
        <w:t>Les frais judiciaires de la procédure d'appel seront fixés à 1'200 fr., décision sur effet suspensif comprise (art. 31 et 37 RTFMC), et compensés avec l'avance fournie par l'appelante, qui reste acquise à l'Etat de Genève (art. 111 al. 1 CPC). Ils seront mis à la charge de l'appelante, qui succombe dans ses conclusions (art. 106 al. 1 CPC). Il ne sera pas alloué de dépens à l'intimé, qui n'en a pas requis et qui comparaît en personne. * * * * *</w:t>
      </w:r>
    </w:p>
    <w:p>
      <w:r>
        <w:t>- 13/13 -</w:t>
      </w:r>
    </w:p>
    <w:p>
      <w:r>
        <w:t>C/20779/2021 PAR CES MOTIFS, La Chambre civile : A la forme : Déclare recevable l'appel interjeté le 14 novembre 2022 par A______ contre le chiffre 3 du dispositif du jugement JTPI/12908/2022 rendu le 1er novembre 2022 par le Tribunal de première instance dans la cause C/20779/2021-6. Le déclare irrecevable pour le surplus. Au fond : Confirme le chiffre 3 du dispositif. Déboute les parties de toutes autres conclusions. Sur les frais : Arrête les frais judiciaires d'appel à 1'200 fr., compensés avec l'avance de frais fournie, acquise à l'Etat de Genève, et les met à la charge de A______. Dit qu'il n'est pas alloué de dépens. Siégeant : Madame Jocelyne DEVILLE-CHAVANNE, présidente; Madame Verena PEDRAZZINI RIZZI, Madame Nathalie LANDRY-BARTHE,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