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ACJC/884/2012 vom 16. März 2011</w:t>
      </w:r>
    </w:p>
    <w:p>
      <w:r>
        <w:t>GE Cour de justice, 2011-03-16, FR</w:t>
      </w:r>
    </w:p>
    <w:p>
      <w:r>
        <w:rPr>
          <w:b/>
        </w:rPr>
        <w:t xml:space="preserve">Quelle: </w:t>
      </w:r>
      <w:r>
        <w:t>https://mcp.opencaselaw.ch/entscheid/ge_gerichte_ACJC_884_2012</w:t>
      </w:r>
    </w:p>
    <w:p>
      <w:r>
        <w:t>FR: GE_GERICHTE ACJC/884/2012 du 16 mars 2011</w:t>
      </w:r>
    </w:p>
    <w:p>
      <w:r>
        <w:t>IT: GE_GERICHTE ACJC/884/2012 del 16 marzo 2011</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w:t>
      </w:r>
    </w:p>
    <w:p>
      <w:r>
        <w:rPr>
          <w:b/>
        </w:rPr>
        <w:t>E. 1.2</w:t>
      </w:r>
    </w:p>
    <w:p>
      <w:r>
        <w:t>En l'espèce, la présente procédure a trait exclusivement à une demande d'éva- cuation pour fin de bail. La valeur litigieuse correspond dès lors à la somme des loyers entre le moment du dépôt de l’appel et le moment où le déguerpissement de l’appelante pourra vraisemblablement être exécuté par la force publique - si tant est que l’action soit admise, soit 46'800 fr. (loyer mensuel de 5'200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Compte tenu du loyer mensuel de 5'200 fr., la valeur litigieuse est largement supérieure à 10'000 fr., de sorte que la voie de l'appel est ouverte.</w:t>
      </w:r>
    </w:p>
    <w:p>
      <w:r>
        <w:rPr>
          <w:b/>
        </w:rPr>
        <w:t>E. 1.3</w:t>
      </w:r>
    </w:p>
    <w:p>
      <w:r>
        <w:t>En vertu de l’art. 311 al. 1 CPC, l’appel, écrit et motivé, est introduit auprès de l’instance d’appel dans les 30 jours à compter de la notification de la décision motivée ou de la notification postérieure de la motivation. Cela étant, si la déci- sion a été rendue en procédure sommaire, le délai pour l’introduction de l’appel et le dépôt de la réponse est de dix jours (art. 314 al. 1 CPC).</w:t>
      </w:r>
    </w:p>
    <w:p>
      <w:r>
        <w:t>- 5/7 -</w:t>
      </w:r>
    </w:p>
    <w:p>
      <w:r>
        <w:t>C/1156/2011 L’appel a par ailleurs été expédié dans un délai de dix jours à compter de la réception du jugement entrepris, ce dernier ayant été rendu en procédure som- maire (art. 257 CPC). L’appel peut être formé pour violation de la loi (art. 310 let. a CPC) ou consta- tation inexacte des faits (310 let. b CPC). Dès lors, l’appel est recevable.</w:t>
      </w:r>
    </w:p>
    <w:p>
      <w:r>
        <w:rPr>
          <w:b/>
        </w:rPr>
        <w:t>E. 2</w:t>
      </w:r>
    </w:p>
    <w:p>
      <w:r>
        <w:t>En vertu de l’art. 257 al. 1 CPC, le tribunal admet l’application de la procédure sommaire lorsque (let. a) l’état de fait n’est pas litigieux ou est susceptible d’être immédiatement prouvé et (let. b) la situation juridique est claire. Ces conditions sont cumulatives (BOHNET; Procédure civile, Tome II, Berne 2010, no 1 ad art. 257CPC, p. 304). Le Tribunal n’entre pas en matière sur la requête lorsque les conditions susmen- tionnées ne sont pas remplies (art. 257 al. 3 CPC); dans un tel cas, il doit donc déclarer la demande irrecevable (BOHNET, op. cit., no 23 ad art. 257). L’état de fait n’est pas litigieux lorsqu’il est incontesté, à savoir lorsque les faits tels que présentés par le requérant ne sont pas remis en cause par le défendeur. On ne peut pas le déduire du simple défaut du défendeur (BOHNET, op. cit., no 7 ad art. 257). En l’espèce, l’état de fait est manifestement litigieux, puisque l’intimée conteste que le bail serait de durée déterminée; or, il s’agit là de l’élément de fait détermi- nant à la solution du litige. Il convient donc d’examiner si cet état de fait peut être immédiatement prouvé. En procédure sommaire, la preuve est rapportée par titres (art. 254 al. 1 CPC), au sens de l’art. 177 CPC, à savoir des documents, tels les écrits, les dessins, les plans, les photographies, les films, les enregistrements sonores, les fichiers élec- troniques et les données analogues propres à prouver des faits pertinents (BOHNET, op. cit., no 2 ad art. 254). D’autres moyens de preuve sont cependant admissibles (art. 254 al. 2 CPC) lorsque leur administration ne retarde pas sensi- blement la procédure (let. a), le but de la procédure l’exige (let. b) ou le Tribunal établit les faits d’office (let. c). BOHNET relève à cet égard que si les preuves étaient limitées aux titres, la protection dans les cas clairs ferait clairement double emploi avec la mainlevée provisoire de l’opposition en matière pécuniaire (BOHNET, op. cit., no 11 ad art. 257), laquelle est également soumise à la procé- dure sommaire (art. 251 let. a CPC). Pour Fabienne HOHL (Procédure civile, op. cit., no 1676), en cas de requête en protection pour cas clair, le juge ne devrait statuer que sur la base de titres, les</w:t>
      </w:r>
    </w:p>
    <w:p>
      <w:r>
        <w:t>- 6/7 -</w:t>
      </w:r>
    </w:p>
    <w:p>
      <w:r>
        <w:t>C/1156/2011 autres moyens de preuve ne devant entrer en ligne de compte que s’ils peuvent être administrés immédiatement. Exceptionnellement, tous les moyens de preuve doivent être admis s’ils ne retardent pas le déroulement de la procédure (art. 254 al. 2 let. a CPC); toutefois, le juge ne doit pas en arriver à établir l’état de fait de la même manière qu’en procédure ordinaire ou simplifiée (HOHL, op. cit., no 1677). La protection pour cas clair ne saurait être admise s’agissant de l’application d’une disposition légale ménageant une marge d’appréciation; il en va de même lorsqu’intervient le critère de la bonne foi (JENTSORENSEN KUKO ZPO, no 7 ad art. 257). Ainsi, lorsque l’établissement des faits nécessite de procéder à l’interprétation d’un contrat, comme c’est le cas en l’espèce, il ne saurait être considéré que l’état de fait est susceptible d’être immédiatement prouvé. En l’espèce, il n’apparaît en tous cas pas évident qu’il s’agirait d’un bail de durée déterminée, bien au contraire. Admettre une telle qualification pour le contrat de bail litigieux nécessiterait, à tout le moins, de procéder à une interprétation de celui-ci. Au vu de ce qui précède, la première condition de l’art. 257 al. 1 CPC, soit l’exis- tence d’un état de fait non litigieux ou susceptible d’être immédiatement prouvé, fait défaut. Les conditions de cet article étant cumulatives, point n’est besoin d’examiner la seconde. C’est dès lors à bon droit que le Tribunal des baux et loyers a déclaré irrecevable la requête du bailleur. Le jugement entrepris devra donc être confirmé.</w:t>
      </w:r>
    </w:p>
    <w:p>
      <w:r>
        <w:rPr>
          <w:b/>
        </w:rPr>
        <w:t>E. 3</w:t>
      </w:r>
    </w:p>
    <w:p>
      <w:r>
        <w:t>La procédure est gratuite, en ce sens qu’il n’est pas perçus de frais judiciaire ou de dépens (art. 17 al. 1 LaCC; art. 95 al. 1 CPC). * * * * *</w:t>
      </w:r>
    </w:p>
    <w:p>
      <w:r>
        <w:t>- 7/7 -</w:t>
      </w:r>
    </w:p>
    <w:p>
      <w:r>
        <w:t>C/1156/2011 PAR CES MOTIFS, La Chambre des baux et loyers : A la forme : Déclare recevable l’appel interjeté par A______ contre le jugement JTBL/222/2011 rendu le 16 mars 2011 par le Tribunal des baux et loyers dans la cause C/1156/2011-1- D. Au fond : Confirme ce jugement. Dit que la procédure est gratuite. Déboute les parties de toutes autres conclusions. Siégeant : Madame Nathalie LANDRY-BARTHE, présidente; Madame Sylvie DROIN et Monsieur Blaise PAGAN, juges; Monsieur Bertrand REICH et Monsieur Pierre STASTNY,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