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ACJC/882/2025 vom 5. August 2025</w:t>
      </w:r>
    </w:p>
    <w:p>
      <w:r>
        <w:t>GE Cour de justice, 2025-08-05, FR</w:t>
      </w:r>
    </w:p>
    <w:p>
      <w:r>
        <w:rPr>
          <w:b/>
        </w:rPr>
        <w:t xml:space="preserve">Quelle: </w:t>
      </w:r>
      <w:r>
        <w:t>https://mcp.opencaselaw.ch/entscheid/ge_gerichte_ACJC_882_2025</w:t>
      </w:r>
    </w:p>
    <w:p>
      <w:r>
        <w:t>FR: GE_GERICHTE ACJC/882/2025 du 5 août 2025</w:t>
      </w:r>
    </w:p>
    <w:p>
      <w:r>
        <w:t>IT: GE_GERICHTE ACJC/882/2025 del 5 agosto 2025</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Ces conditions valent aussi en procédure de cas clair selon l'art. 257 CPC (HOHL, Procédure civile, tome II, 2010, n. 1684 s.). Les actions portant sur la délivrance d'un certificat de travail sont des contestations à caractère pécuniaire. La valeur litigieuse du certificat de travail se détermine au regard de l'entrave à l'avenir professionnel du travailleur, compte tenu de l'ensemble des circonstances, soit en particulier de critères tels que la profession, la fonction, la durée des rapports de travail, le niveau de salaire, la qualification du salarié et la situation du marché du travail (WYLER/HEINZER/WITZIG, Droit du travail, 5ème éd. 2024, pp 589-590 et les références jurisprudentielles citées). En l'espèce, la requête porte sur la délivrance d'un certificat de travail, ainsi que de certificats et fiches de salaire, pour la période du 1er janvier 2018 au 17 juin 2022. A défaut d'autres précisions et de contestations de la part de l'intimée, il sera admis que la valeur litigieuse dépasse 10'000 fr., de sorte que la voie de l'appel est ouverte.</w:t>
      </w:r>
    </w:p>
    <w:p>
      <w:r>
        <w:t>- 4/6 -</w:t>
      </w:r>
    </w:p>
    <w:p>
      <w:r>
        <w:t>C/19340/2024</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 En l'espèce, l'appel, écrit et motivé (art. 311 al. 1 CPC) a été formé dans le délai précité (cf. également art. 142 al. 3 CPC). Il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w:t>
      </w:r>
    </w:p>
    <w:p>
      <w:r>
        <w:rPr>
          <w:b/>
        </w:rPr>
        <w:t>E. 2</w:t>
      </w:r>
    </w:p>
    <w:p>
      <w:r>
        <w:t>L'appelant fait grief au Tribunal d'avoir violé son droit d'être entendu, en omettant de lui transmettre la réponse de sa partie adverse et en le privant ainsi de son droit de réplique inconditionnel.</w:t>
      </w:r>
    </w:p>
    <w:p>
      <w:r>
        <w:rPr>
          <w:b/>
        </w:rPr>
        <w:t>E. 2.1</w:t>
      </w:r>
    </w:p>
    <w:p>
      <w:r>
        <w:t>Conformément aux art. 53 al. 3 CPC – [applicable en l'espèce; cf. art. 407f CPC a contrario et TAPPY, Le droit transitoire applicable aux règles introduites par la novelle du 17 mars 2023, in CPC 2025, La révision du code de procédure civile, 2024, p.p 216-217] –, 29 al. 2 Cst. et 6 CEDH,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et les références citées).</w:t>
      </w:r>
    </w:p>
    <w:p>
      <w:r>
        <w:rPr>
          <w:b/>
        </w:rPr>
        <w:t>E. 2.1.1</w:t>
      </w:r>
    </w:p>
    <w:p>
      <w:r>
        <w:t>Le droit d'être entendu est une garantie constitutionnelle de caractère formel, dont la violation entraîne en principe l'annulation de la décision attaquée, indépendamment des chances de succès du recours sur le fond.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(ATF 143 IV 380 consid. 1.4.1; arrêt du Tribunal fédéral 4D_76/2020 du 2 juin 2021 consid. 4.2, non publié in ATF 147 III 440). Il incombe au recourant d'indiquer quels arguments il aurait fait valoir dans la procédure et en quoi ceux-ci auraient été pertinents (arrêts du Tribunal fédéral 4A_30/2021 du 16 juillet 2021 consid. 4.1; 4D_31/2021 du 22 juin 2021 consid. 2.1; 4A_162/2021 du 12 mai 2021</w:t>
      </w:r>
    </w:p>
    <w:p>
      <w:r>
        <w:t>- 5/6 -</w:t>
      </w:r>
    </w:p>
    <w:p>
      <w:r>
        <w:t>C/19340/2024 consid. 5.2 et les arrêts cités). A défaut de cette démonstration, en effet, le renvoi de la cause à l'autorité précédente en raison de cette seule violation constituerait une vaine formalité et conduirait seulement à prolonger inutilement la procédure (arrêts du Tribunal fédéral 4A_641/2023 du 17 septembre 2024 consid. 4.1.2; 5A_804/2022 du 24 février 2023 consid. 3.1 et les arrêts cités).</w:t>
      </w:r>
    </w:p>
    <w:p>
      <w:r>
        <w:rPr>
          <w:b/>
        </w:rPr>
        <w:t>E. 2.1.2</w:t>
      </w:r>
    </w:p>
    <w:p>
      <w:r>
        <w:t>Par ailleurs, la violation du droit d'être entendu peut être réparée lorsque la partie lésée a la possibilité de s'exprimer devant une autorité de recours jouissant d'un plein pouvoir d'examen (ATF 135 I 279 consid. 2.6.1; 133 I 201 consid. 2.2; 118 Ib 111 consid. 4b;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2C_463/2024 du 20 février 2025 consid. 5.1).</w:t>
      </w:r>
    </w:p>
    <w:p>
      <w:r>
        <w:rPr>
          <w:b/>
        </w:rPr>
        <w:t>E. 2.2</w:t>
      </w:r>
    </w:p>
    <w:p>
      <w:r>
        <w:t>En l'espèce, l'omission de transmettre la réponse (et les pièces) de l'intimée à l'appelant constitue une violation manifeste du droit d'être entendu de celui-ci, qui a été privé de son droit inconditionnel à la réplique. L'appelant n'est pas en mesure d'indiquer quels arguments complémentaires il aurait fait valoir dans la procédure, ni en quoi ceux-ci auraient été pertinents, puisqu'il n'a pas pu prendre connaissance de la réponse et des pièces de sa partie adverse. La violation ne peut donc pas être réparée devant la Cour, qui par ailleurs ne dispose même pas des pièces auxquelles se réfère l'intimée dans sa réponse. Le grief de l'appelant étant fondé, le jugement attaqué sera annulé et la cause sera renvoyée au Tribunal pour qu'il transmette à l'appelant la réponse et les pièces de l'intimée, garantisse le droit d'être entendues des parties et rende une nouvelle décision.</w:t>
      </w:r>
    </w:p>
    <w:p>
      <w:r>
        <w:rPr>
          <w:b/>
        </w:rPr>
        <w:t>E. 3</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- 6/6 -</w:t>
      </w:r>
    </w:p>
    <w:p>
      <w:r>
        <w:t>C/19340/2024 PAR CES MOTIFS, La Chambre des prud'hommes :</w:t>
      </w:r>
    </w:p>
    <w:p>
      <w:r>
        <w:t>A la forme : Déclare recevable l'appel interjeté le 24 février 2025 par A______ contre le jugement JTPH/37/2025 rendu le 11 février 2025 par le Tribunal des prud'hommes dans la cause C/19340/2024. Au fond : Annule le jugement attaqué. Renvoie la cause au Tribunal des prud'hommes pour la suite de la procédure dans le sens des considérants. Déboute les parties de toutes autres conclusions. Dit que la procédure est gratuite et qu'il n'est pas alloué de dépens. Siégeant : Monsieur Ivo BUETTI, président; Monsieur Pierre-Alain L'HÔTE, Madame Filipa CHINARRO,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