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ACJC/880/2023 vom 4. Juli 2023</w:t>
      </w:r>
    </w:p>
    <w:p>
      <w:r>
        <w:t>GE Cour de justice, 2023-07-04, FR</w:t>
      </w:r>
    </w:p>
    <w:p>
      <w:r>
        <w:rPr>
          <w:b/>
        </w:rPr>
        <w:t xml:space="preserve">Quelle: </w:t>
      </w:r>
      <w:r>
        <w:t>https://mcp.opencaselaw.ch/entscheid/ge_gerichte_ACJC_880_2023</w:t>
      </w:r>
    </w:p>
    <w:p>
      <w:r>
        <w:t>FR: GE_GERICHTE ACJC/880/2023 du 4 juillet 2023</w:t>
      </w:r>
    </w:p>
    <w:p>
      <w:r>
        <w:t>IT: GE_GERICHTE ACJC/880/2023 del 4 luglio 2023</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let. a et 2 CPC). En l'espèce, le jugement entrepris est une décision finale et la valeur litigieuse est supérieure à 10'000 fr. La voie de l'appel est dès lors ouverte.</w:t>
      </w:r>
    </w:p>
    <w:p>
      <w:r>
        <w:rPr>
          <w:b/>
        </w:rPr>
        <w:t>E. 1.2</w:t>
      </w:r>
    </w:p>
    <w:p>
      <w:r>
        <w:t>Interjeté dans la forme et le délai prescrits par la loi (art. 130, 131, 142 al. 1 et 3, 145 al. 1 let. b et 311 al. 1 CPC) et auprès de l'autorité compétente (art. 120 al. 1 let. a LOJ), l'appel est recevable.</w:t>
      </w:r>
    </w:p>
    <w:p>
      <w:r>
        <w:rPr>
          <w:b/>
        </w:rPr>
        <w:t>E. 1.3</w:t>
      </w:r>
    </w:p>
    <w:p>
      <w:r>
        <w:t>S'agissant d'un appel, la Cour revoit la cause avec un plein pouvoir d'examen (art. 310 CPC), mais uniquement dans la limite des griefs motivés qui sont formulés (ATF 142 III 413 consid. 2.2.4). En particulier, elle contrôle librement l'appréciation des preuves effectuée par le juge de première instance (art. 157 CPC en relation avec l'art. 310 let. b CPC). Elle applique en outre la maxime des débats et le principe de disposition (art. 55 al. 1 et 58 al. 1 CPC).</w:t>
      </w:r>
    </w:p>
    <w:p>
      <w:r>
        <w:rPr>
          <w:b/>
        </w:rPr>
        <w:t>E. 2</w:t>
      </w:r>
    </w:p>
    <w:p>
      <w:r>
        <w:t>L'appelante reproche au Tribunal d'avoir retenu que l'intimée avait le droit – dans son intégralité – à la commission de courtage. 2.1.1 Confronté à 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ATF 144 III 93 consid. 5.2.2; arrêt du Tribunal fédéral 4A_431/2019 du 27 février 2020 consid. 5.1 et les références).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140 III 86 consid. 4.1; arrêt du Tribunal fédéral 4A_152/2017 du 2 novembre 2017 consid. 4.1). L'appréciation de ces indices concrets par le juge, selon son expérience générale de la vie, relève du fait. Si sa recherche aboutit à un résultat positif, le juge parvient à la conclusion que les parties se sont comprises (ATF 144 III 93 consid. 5.2.2; arrêts du Tribunal fédéral 4A_186/2017 du 4 décembre 2017 consid. 4.2.2; 4A_98/2016 du 22 août 2016 consid. 5.1). Ce n'est que si le juge ne parvient pas à déterminer la volonté réelle et commune des parties – parce que les preuves font défaut ou ne sont pas concluantes – ou s'il</w:t>
      </w:r>
    </w:p>
    <w:p>
      <w:r>
        <w:t>- 11/18 -</w:t>
      </w:r>
    </w:p>
    <w:p>
      <w:r>
        <w:t>C/8698/2021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arrêt du Tribunal fédéral 4A_431/2019 précité, ibidem et les références). Des conditions générales sont applicables uniquement si les parties ont convenu, expressément ou par actes concluants, de les incorporer à leur contrat (ATF 118 II 295 consid. 2a; arrêt du Tribunal fédéral 4A_47/2015 du 2 juin 2015 consid. 5.1; MORIN, Commentaire romand, Code des obligations I, 3ème éd. 2021, n. 169 ad art. 1 CO). 2.1.2 En vertu de l'art. 412 al. 1 CO, le courtage est un contrat par lequel le courtier est chargé, moyennant un salaire, soit d'indiquer à l'autre partie l'occasion de conclure une convention (courtage d'indication), soit de lui servir d'intermédiaire pour la négociation d'un contrat (courtage de négociation). Le courtage doit présenter les deux éléments essentiels suivants: il doit être conclu à titre onéreux et les services procurés par le courtier, qu'il soit indicateur ou négociateur, doivent tendre à la conclusion d'un contrat, quelle qu'en soit la nature (ATF 139 III 217 consid. 2.3; arrêt du Tribunal fédéral 4A_229/2020 du</w:t>
      </w:r>
    </w:p>
    <w:p>
      <w:r>
        <w:rPr>
          <w:b/>
        </w:rPr>
        <w:t>E. 5</w:t>
      </w:r>
    </w:p>
    <w:p>
      <w:r>
        <w:t>mai 2021 consid. 3). La description de l'activité à fournir par le courtier pour ouvrir, le cas échéant, le droit au salaire est également un élément objectivement essentiel, de sorte que le contrat de courtage n'est parfait au sens de l'art. 2 CO que si les parties se sont mises d'accord sur ce point (arrêt du Tribunal fédéral 4A_545/2018 du 23 septembre 2019 consid. 4.2.1). La fonction économique du courtage est de faciliter les opérations commerciales par l'intervention du courtier, qui, en raison de son expérience dans un domaine particulier s'entremet entre deux ou plusieurs parties qu'il met en rapport en vue de la conclusion d'une affaire. L'action du courtier indicateur consiste à indiquer un partenaire avec qui le mandant peut conclure un contrat, et celle du courtier négociateur à conduire les négociations avec le tiers pour le compte du mandant. La pratique distingue par ailleurs un troisième type de contrat de courtage, qui n'est pas prévu par la loi; il s'agit du courtage de présentation. L'activité de ce</w:t>
      </w:r>
    </w:p>
    <w:p>
      <w:r>
        <w:t>- 12/18 -</w:t>
      </w:r>
    </w:p>
    <w:p>
      <w:r>
        <w:t>C/8698/2021 dernier est d'amener un tiers à entrer en relation avec le mandant en vue de négocier un contrat. Les parties sont libres de cumuler les types d'activités qui peuvent être déployées par le courtier. Dans la pratique, les limites entre les trois types de contrat de courtage sont fluctuantes (RAYROUX, Commentaire romand, Code des Obligations I, 3ème éd. 2021, n. 3 et 4 ad art. 412 CO). Aucune forme particulière ne doit être respectée (RAYROUX, op. cit., n. 16 ad art. 412 CO). Le contrat peut être passé expressément ou par actes concluants (ATF 131 III 268 consid. 5.1.1; arrêt du Tribunal fédéral 4A_45/2010 du 25 mars 2010 consid. 2.2). 2.1.3 Selon l'art. 413 al. 1 CO, le courtier indicateur a droit à son salaire dès que l'indication qu'il a donnée aboutit à la conclusion du contrat. Le courtier est en principe appelé à développer une activité factuelle, consistant à trouver un amateur qui se portera contractant du mandant. Pour prétendre à un salaire, le courtier doit prouver, d'une part, qu'il a agi et, d'autre part, que son intervention a été couronnée de succès. Il faut donc que le contrat que le mandant cherchait à obtenir ait été conclu et qu'il existe un lien de causalité entre l'activité du courtier et la conclusion du contrat (ATF 131 III 268 consid. 5.1.2; arrêt du Tribunal fédéral 4A_153/2017 du 29 novembre 2017 consid. 2.1 et les références citées). Le courtier ne répond pas de la bonne exécution du contrat indiqué ou négocié (RAYROUX, op. cit., n. 30 ad art. 412 CO). Seul le principe d'une rémunération doit être prévu (art. 414 CO; ATF 117 II 286 consid. 5b), que ce soit de manière expresse ou par actes concluants, et peut même l'être après la conclusion du contrat principal (TERCIER/BIERI/CARRON, Les contrats spéciaux, 5ème éd. 2016, n. 4946, 4948). Le montant ou le mode de calcul de la rémunération ne sont en revanche pas des éléments essentiels du contrat de courtage; s'il n'existe pas de convention à ce sujet et que la rémunération est due, elle se détermine selon le tarif ou l'usage auxquels l'art. 414 CO fait référence (arrêt du Tribunal fédéral 4A_96/2016 du 4 avril 2016 consid. 2.2). Vu la nature aléatoire du contrat de courtage, il faut partir du principe que le salaire rémunère le succès du courtier, et non l'étendue de l'activité déployée par celui-ci (ATF 138 III 669 consid. 3.1; RAYROUX, op. cit., n. 8 ad art. 417 CO). La conclusion du contrat principal donne naissance au droit au salaire du courtier (RAYROUX, op. cit., n. 18 ad art. 412 CO et n. 1 ad art. 413 CO). 2.1.4 Les règles du mandat sont, d’une manière générale, applicables au courtage (art. 412 al. 2 CO). A cet égard, l'art. 398 al. 2 CO prévoit notamment que le mandataire est responsable envers le mandant de la bonne et fidèle exécution du mandat.</w:t>
      </w:r>
    </w:p>
    <w:p>
      <w:r>
        <w:t>- 13/18 -</w:t>
      </w:r>
    </w:p>
    <w:p>
      <w:r>
        <w:t>C/8698/2021 L'art. 415 CO dispose en outre que le courtier perd son droit au salaire et au remboursement de ses dépenses, s’il agit dans l’intérêt du tiers contractant au mépris de ses obligations, ou s’il se fait promettre par lui une rémunération dans des circonstances où les règles de la bonne foi s’y opposaient. L'obligation principale du mandataire consiste à mettre en œuvre une diligence raisonnable pour atteindre le but voulu par les parties et à livrer le résultat obtenu (WERRO, Code des obligations I, Commentaire romand, 3ème éd. 2021, n. 12 ss ad art. 398 CO). C'est au créancier qu'il incombe de prouver quelles mesures s'imposaient au débiteur dans les circonstances de l'espèce et le fait que celui-ci ait omis de les prendre (WERRO, Le mandat et ses effets, p. 305, n. 908; dans le même sens: arrêt du Tribunal fédéral 4A_350/2019 du 9 janvier 2020 consid. 3.1 et les arrêts cités). 2.2.1 En l'espèce, il n'est pas contesté que, comme l'a retenu à juste titre le premier juge, les parties sont liées par un contrat de courtage d'indication, voire de présentation, portant sur la recherche, l'indication et la présentation de candidats visant à pourvoir un poste d'avocat collaborateur au sein de l'appelante. Ce contrat couvrait aussi la présentation par l'intimée de la candidature de la collaboratrice engagée pour le poste précité. Le caractère onéreux du contrat est également acquis, C______ ayant admis qu'il ne pouvait pas penser que le mandat confié à l'intimée était gratuit. 2.2.2 Concernant le montant de la rémunération, F______ a exposé avoir renseigné d'emblée oralement le représentant de l'appelante sur les tarifs de l'intimée, à savoir les pourcentages progressifs appliqués, résultant des conditions générales qui ont ensuite été communiquées. Certes, l'appelante n'a pas signé ces conditions générales, mais il est constant qu'elle les a reçues bien avant l'événement générateur de la commission, à savoir l'engagement de la collaboratrice. Si l'appelante avait effectivement pensé, comme elle l'a soutenu devant le Tribunal (et sans toutefois l'établir), que lesdits pourcentages ne devaient pas dépasser 10% du salaire annuel, elle aurait certainement réagi à réception de ces tarifs plus élevés, qu'elle admet avoir lus. La position de l'appelante selon laquelle elle n'aurait pas accepté les conditions générales, et donc les tarifs, est d'autant moins crédible qu'elle est représentée dans ses rapports avec l'intimée par un avocat breveté. Le fait que l'appelante ait engagé l'un des candidats proposés par l'intimée, après avoir reçu les conditions générales, corrobore ce qui précède, tout comme le fait qu'elle n'ait pas du tout contesté le montant de la facture à réception, ni plus tard, s'agissant des tarifs appliqués, voire qu'elle ait sollicité un fractionnement du paiement de la facture en raison de problèmes de liquidités rencontrés dans le contexte de la pandémie. Aussi, avec le Tribunal, il y a lieu de retenir que les parties ont convenu, par actes concluants, que la rémunération de</w:t>
      </w:r>
    </w:p>
    <w:p>
      <w:r>
        <w:t>- 14/18 -</w:t>
      </w:r>
    </w:p>
    <w:p>
      <w:r>
        <w:t>C/8698/2021 l'activité de l'intimée consistait dans le tarif résultant des conditions générales, lesquelles faisaient partie intégrante du contrat. Enfin, le lien de causalité entre l'activité déployée par l'intimée et la conclusion du contrat entre l'appelante et la collaboratrice est aussi donné, ce qui n'est pas remis en cause par l'appelante. 2.2.3 L'appelante se plaint de ce que l'intimée n'avait pas fourni le dossier complet de la candidate engagée. Selon elle, l'avocate en question ne présentait pas les compétences fondamentales pour exercer le métier d'avocat, de sorte que l'intimée n'avait pas procédé de manière suffisamment rigoureuse à sa sélection. L'intimée, qui avait alors failli "aux règles de l'art prévalant en la matière", n'avait pas le droit à sa rémunération. Se basant sur la prémisse – erronée – que les conditions générales ne seraient pas applicables en l'espèce, l'appelante n'a pas établi quel aurait été l'accord oral des parties sur la documentation à fournir à l'appui des candidatures. Elle ne peut se contenter d'affirmer qu'en ne fournissant qu'un curriculum vitae et un email avec des "bullet points", l'intimée n'a pas respecté "les règles de l'art prévalant en la matière", étant rappelé qu'elle a félicité la collaboratrice de l'intimée pour la qualité des dossiers envoyés et n'a, dans le cas particulier de l'avocate sélectionnée, jamais demandé de renseignements complémentaires. En tout état, ce point est réglé par les conditions générales de l'intimée. Celles-ci prévoient certes que l'intimée fournit pour chaque candidat sélectionné un dossier de candidature complet comprenant un compte-rendu du consultant sur l'entretien avec le candidat, son curriculum vitae, ses certificats de travail et ses diplômes d'études. Elles réservent toutefois les cas particuliers. L'appelante n'ayant pas contesté le caractère "urgent" de sa recherche d'avocat collaborateur de sorte que la totalité des documents du dossier de candidature n'avait pas pu être immédiatement réunie par l'intimée, elle se trouvait être en ce sens dans un cas particulier. Comme vu précédemment, l'appelante n'a en tout état pas réclamé d'information supplémentaire au sujet de la précitée auprès de l'intimée. En particulier, l'appelante, qui a demandé l'accord de l'intimée pour contacter directement la candidate sélectionnée, n'a pas sollicité le dossier complet de celle- ci avant de le faire, ni plus tard, avant de conclure le contrat de travail le 1er juillet 2020 pour une entrée en fonction seulement trois mois plus tard. Il ne ressort ni des allégations de l'appelante ni du dossier que l'intimée aurait présenté une candidate ne correspondant pas au profil du poste à pourvoir auprès de l'appelante, les parties n'ayant pas prédéfinis de critères notamment quant au parcours des candidats ou à leur séniorité. D'ailleurs, il n'est pas établi que l'appelante ait communiqué à l'intimée, par écrit ou par oral, un cahier des charges ou un descriptif précis du poste à pourvoir. Il ressort uniquement des déclarations</w:t>
      </w:r>
    </w:p>
    <w:p>
      <w:r>
        <w:t>- 15/18 -</w:t>
      </w:r>
    </w:p>
    <w:p>
      <w:r>
        <w:t>C/8698/2021 à la procédure que F______ a contacté l'appelante par téléphone peu après avoir été sollicitée, afin d'obtenir des informations complémentaires sur le profil recherché. Le représentant de l'appelante n'a notamment pas déclaré avoir demandé à l'intimée de vérifier les références des candidats ni que les parties se soient mises d'accord sur ce point. L'appelante n'a au surplus pas démontré en quoi l'intimée aurait pu et dû (faire pour) se rendre compte que l'avocate n'avait pas les "compétences fondamentales pour exercer le métier d'avocat" sur la base de son dossier et de leur entretien, ni précisément en quoi elle ne présentait pas de telles compétences. Dans tous les cas, le courtier indicateur ne répond pas de la bonne exécution du contrat indiqué, soit en l'occurrence du contrat de travail entre l'appelante et l'avocate engagée. Enfin, il convient de rappeler qu’à teneur des conditions générales également, la responsabilité de l’intimée est restreinte, dans la mesure où ses prestations en matière de recherche et de sélection de candidats ne peuvent en aucun cas remplacer un examen approfondi de la part du client de la personne qu’il engage. Par la signature du contrat de travail, le client endosse l’entière responsabilité de son choix. L’intimée décline toute responsabilité pour l’exécution des travaux que le client confie au candidat dans le cadre de son nouveau travail. Par conséquent, il appartenait à l’appelante de s’assurer que la candidate exécuterait correctement les tâches qui lui étaient confiées. L’intimée a donc respecté ses obligations les plus élémentaires, et, par là même, son obligation de diligence. Par conséquent, l’appelante échoue dans la preuve de l’inexécution ou de la mauvaise exécution du contrat par l’intimée. 2.2.4 L'appelante estime encore que le contrat conclu entre les parties comportait une obligation de résultat – à savoir "l'engagement ferme" d'un avocat collaborateur – et que celui-ci n'avait pas été atteint, l'avocate en question ayant été licenciée pendant son temps d'essai; en l'absence de résultat et de proposition de nouveaux candidats, aucune rémunération n'était alors due. Elle n'a toutefois pas démontré – ni même allégué – que les parties avaient précisément prévu qu'un candidat de remplacement serait proposé par l'intimée en cas de rupture du contrat de travail avec l'avocate. La rémunération du courtier dépend certes du résultat de son activité, qui doit lui être causale. Néanmoins, le résultat attendu consiste en la conclusion du contrat principal, réalisé en l'espèce par la conclusion du contrat de travail entre l'appelante et la collaboratrice sélectionnée. La résiliation des rapports de travail pendant le temps d'essai de l'avocate est dès lors sans incidence. Par ailleurs, selon l'appelante, certaines agences pratiquent "un système de garantie par rapport à la pérennité du candidat engagé". Par ces déclarations, elle admet qu'il s'agit d'un élément du contrat de</w:t>
      </w:r>
    </w:p>
    <w:p>
      <w:r>
        <w:t>- 16/18 -</w:t>
      </w:r>
    </w:p>
    <w:p>
      <w:r>
        <w:t>C/8698/2021 courtage à convenir et qu'une telle garantie – ou ce qu'elle qualifie d'obligation de résultat – ne découle pas directement du contrat de courtage. Il s'ensuit que l'activité de l'intimée a conduit au résultat attendu, soit à la conclusion du contrat de travail entre l'appelante et l'avocate et qu'elle n'est pas responsable de sa bonne exécution, de sorte qu'elle a droit à sa rémunération. Elle n'avait au surplus pas l'obligation de présenter de nouveaux candidats suite à la rupture des rapports de travail. Comme l'a relevé la collaboratrice de l'intimée, il aurait vraisemblablement été question dans ce cas d'un nouveau contrat de courtage. Au surplus, les honoraires de l'intimée n'ont pas à être réduits sur la base des conditions générales. En effet, l'art. 4 des conditions générales subordonne la rétrocession au client des honoraires notamment à leur paiement dans le délai imparti. Or, l'appelante n'a pas réglé la facture du 6 octobre 2020 dans le délai imparti de trente jours et n'a au demeurant pas réagi aux deux propositions d'échelonnement de paiement de l'intimée. Elle n'est par conséquent pas en droit de bénéficier de la réduction prévue en cas de licenciement au cours du troisième mois. 2.2.5 Dans un dernier moyen, l'appelante fait valoir que la clause prévoyant la rémunération de l'intimée était abusive et, donc, contraire à l'art. 8 LCD. En tout état, la commission de l'intimée devait être réduite, afin d'être conforme à la pratique usuelle dans le domaine consistant en une commission de 10% du salaire annuel du candidat engagé. L'appelante estime que l'intimée avait déployé des efforts très restreints et incomplets, de sorte que sa rémunération était abusive. Une telle circonstance n'est toutefois pas déterminante pour juger du caractère excessif ou non de la commission convenue, puisque celle-ci rémunère le succès du courtier, et non l'activité de ce dernier. Il convient néanmoins de relever que, même à suivre la thèse de l'appelante, selon laquelle l'intimée se serait contentée de transférer le curriculum vitae de la candidate engagée et un bref récapitulatif de points déjà contenus dans ledit document et ses prétentions salariales, l'activité à rémunérer ne serait pas limitée à la transmission de ces informations et du contact de l'avocate en question. En effet, l'appelante a déclaré qu'en raison de sa petite structure, elle n'attirait pas les candidats comme pouvaient le faire les grandes études d'avocat. Elle avait dès lors besoin de l'activité de l'intimée pour être mise en relation avec des candidats, qui a priori n'avaient pas ou peu d'intérêt pour celle-ci. L'appelante en est dès lors consciente, ayant précisément fait appel aux services de l'intimée à cette fin. Enfin, à suivre complètement la thèse de l'appelante, elle avait fait appel à l'intimée, parce qu'elle n'avait pas le temps de rechercher par elle-même des candidats. Or, grâce aux efforts de l'intimée, elle n'a eu qu'à examiner les quelques candidatures qui lui ont été présentées, pour</w:t>
      </w:r>
    </w:p>
    <w:p>
      <w:r>
        <w:t>- 17/18 -</w:t>
      </w:r>
    </w:p>
    <w:p>
      <w:r>
        <w:t>C/8698/2021 lesquelles elle a félicité F______. Parmi celles-ci, elle en a retenu quatre et a reçu les candidats sélectionnés en entretien. Enfin, elle a choisi d'engager G______ qui en faisait partie. L'appelante a dès lors bien bénéficié d'un gain de temps à travers les activités de l'intimée. Par ailleurs, E______ a déclaré que les pourcentages pratiqués par l'intimée, prévus dans ses conditions générales – applicables en l'espèce –, étaient conformes à l'usage dans le domaine. A l'appui de cette déclaration, l'intimée a produit un arrêt de la Cour de justice (ACJC/444/2019) qui fait état d'une autre société de placement appliquant des tarifs similaires aux siens. L'appelante, quant à elle, n'a apporté aucun élément de preuve de ce qu'elle allègue. 2.2.6 Enfin, l'appelante ne remet pas en question le calcul du montant des honoraires de l'intimée, de sorte qu'ils seront confirmés. Il en va de même du dies a quo de l'intérêt moratoire fixé au 6 novembre 2020, au demeurant non contesté par les parties. Partant, l'appelante sera déboutée de ses conclusions et le jugement querellé entièrement confirmé. 3. 3.1 Dans la mesure où le jugement attaqué est entièrement confirmé, il n'y a pas lieu de statuer à nouveau sur les frais de première instance (art. 318 al. 3 CPC a contrario), dont la quotité n'est pas critiquée en appel. 3.2 Les frais judiciaires d'appel seront arrêtés à 2'700 fr. (art. 17 et 35 RTFMC) et mis à la charge de l'appelante, qui succombe (art. 106 al. 1 CPC). Ils seront compensés avec l'avance fournie par celle-ci, laquelle demeure acquise à l'Etat de Genève (art. 111 al. 1 CPC). L'appelante versera en outre à l'intimée 3'000 fr., débours et TVA compris, à titre de dépens d'appel (art. 84, 85 et 90 RTFMC; art. 25 et 26 LaCC). * * * * *</w:t>
      </w:r>
    </w:p>
    <w:p>
      <w:r>
        <w:t>- 18/18 -</w:t>
      </w:r>
    </w:p>
    <w:p>
      <w:r>
        <w:t>C/8698/2021 PAR CES MOTIFS, La Chambre civile : A la forme : Déclare recevable l'appel interjeté le 19 août 2022 par A______ SARL contre le jugement JTPI/7285/2022 rendu le 16 juin 2022 par le Tribunal de première instance dans la cause C/8698/2021-21. Au fond : Confirme le jugement entrepris. Déboute les parties de toutes autres conclusions. Sur les frais : Arrête les frais judiciaires à 2'700 fr., les met à la charge de A______ SARL et les compense avec l'avance de frais de même montant fournie par celle-ci, qui demeure acquise à l'Etat de Genève. Condamne A______ SARL à payer à B______ SARL la somme de 3'000 fr. à titre de dépens d'appel. Siégeant : Madame Jocelyne DEVILLE-CHAVANNE, présidente; Madame Verena PEDRAZZINI RIZZI, Madame Nathalie LANDRY-BARTHE, juges; Madame Sandra CARRIER, greffière. La présidente : Jocelyne DEVILLE-CHAVANNE</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