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ACJC/87/2025 vom 24. Januar 2025</w:t>
      </w:r>
    </w:p>
    <w:p>
      <w:r>
        <w:t>GE Cour de justice, 2025-01-24, FR</w:t>
      </w:r>
    </w:p>
    <w:p>
      <w:r>
        <w:rPr>
          <w:b/>
        </w:rPr>
        <w:t xml:space="preserve">Quelle: </w:t>
      </w:r>
      <w:r>
        <w:t>https://mcp.opencaselaw.ch/entscheid/ge_gerichte_ACJC_87_2025</w:t>
      </w:r>
    </w:p>
    <w:p>
      <w:r>
        <w:t>FR: GE_GERICHTE ACJC/87/2025 du 24 janvier 2025</w:t>
      </w:r>
    </w:p>
    <w:p>
      <w:r>
        <w:t>IT: GE_GERICHTE ACJC/87/2025 del 24 gennaio 2025</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al. 1, 145 al. 1 let. a et 311 CPC), à l'encontre d'une décision finale de première instance rendue dans une affaire de nature pécuniaire dont la valeur litigieuse est supérieure à 10'000 fr. (art. 308 al. 1 let. a et al. 2 CPC).</w:t>
      </w:r>
    </w:p>
    <w:p>
      <w:r>
        <w:rPr>
          <w:b/>
        </w:rPr>
        <w:t>E. 1.2</w:t>
      </w:r>
    </w:p>
    <w:p>
      <w:r>
        <w:t>La valeur litigieuse étant inférieure à 30'000 fr. (art. 91 CPC), la procédure simplifiée est applicable (art. 243 al. 1 CPC), de même que la maxime inquisitoire sociale (art. 247 al. 2 let. b ch. 2 CPC) et le principe de disposition (art. 58 al. 1 CPC). Lorsque le procès est, comme en l'espèce, soumis à la maxime inquisitoire sociale, le juge établit les faits d'office (art. 247 al. 2 let. a CPC en lien avec l'art. 243 al. 2 let. f CPC). Cette maxime, qui tend notamment à protéger la partie faible au contrat et à garantir l'égalité entre les parties au procès, répartit dans une certaine mesure la responsabilité pour l'établissement de l'état de fait entre les parties et le juge, celui-ci ayant un devoir de collaboration renforcé. Le tribunal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Son rôle ne va toutefois pas au-delà. La maxime inquisitoire sociale se rapporte ainsi à l'établissement des faits. Il suit de là que la maxime inquisitoire sociale ne s'oppose pas à ce qu'un recours</w:t>
      </w:r>
    </w:p>
    <w:p>
      <w:r>
        <w:t>- 7/16 -</w:t>
      </w:r>
    </w:p>
    <w:p>
      <w:r>
        <w:t>C/18691/2022 soit déclaré irrecevable en raison de conclusions mal formulées (par ex. le recourant n'a pas chiffré ses conclusions dans une affaire patrimoniale) (arrêt du Tribunal fédéral 4A_618/2017 du 11 janvier 2018 consid. 4.3.1, 4.3.2 et 4.4 et les références citées).</w:t>
      </w:r>
    </w:p>
    <w:p>
      <w:r>
        <w:rPr>
          <w:b/>
        </w:rPr>
        <w:t>E. 1.3</w:t>
      </w:r>
    </w:p>
    <w:p>
      <w:r>
        <w:t>L'instance d'appel revoit la cause en fait et en droit avec un plein pouvoir d'examen (art. 310 CPC), dans la limite des griefs suffisamment motivés qui sont formulés (art. 311 al. 1 CPC; ATF 142 III 413 consid. 2.2.4).</w:t>
      </w:r>
    </w:p>
    <w:p>
      <w:r>
        <w:rPr>
          <w:b/>
        </w:rPr>
        <w:t>E. 1.4</w:t>
      </w:r>
    </w:p>
    <w:p>
      <w:r>
        <w:t>L'appelant a allégué des faits nouveaux et produit des pièces nouvelles devant la Cour.</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L'art. 317 CPC prévaut sans restriction lorsque le procès est soumis à la maxime inquisitoire sociale : les allégués de fait et les offres de preuves nouveaux sont irrecevables, sous réserve de l'exception prévue par l'art. 317 al. 1 CPC (ATF 138 III 625 consid. 2.1 et 2.2). Il s'ensuit que la cour cantonale peut refuser de prendre en considération un fait ou un moyen de preuve nouveau si le juge de première instance a pu l'ignorer sans méconnaître la maxime inquisitoire sociale (ATF 138 III 374 consid. 4.3.2; JEANDIN, CR CPC, 2ème éd. 2019, n. 9a ad art. 317 CPC).</w:t>
      </w:r>
    </w:p>
    <w:p>
      <w:r>
        <w:rPr>
          <w:b/>
        </w:rPr>
        <w:t>E. 1.4.2</w:t>
      </w:r>
    </w:p>
    <w:p>
      <w:r>
        <w:t>En l'espèce, les faits nouveaux dont l'appelant se prévaut devant la Cour (all. 17 et 18, cf. supra EN FAIT, let. C.d) sont des faits pertinents pour déterminer si la CCT-Architectes est applicable aux relations de travail nouées par les parties. Il s'agit par conséquent de faits qu'il appartenait au Tribunal d'établir dans la mesure utile, en invitant les parties à compléter leurs allégués sur cette question – étant relevé que l'appelant n'était pas assisté d'un avocat ou d'un mandataire professionnellement qualifié pendant la procédure de première instance. Dans ces circonstances, la Cour retiendra que ces faits nouveaux sont recevables, dans la mesure où le Tribunal, en les ignorant, a méconnu la maxime inquisitoire sociale. La question de la recevabilité des pièces nouvelles produites par l'appelant peut demeurer ouverte, celles-ci n'étant pas déterminantes pour l'issue du litige. Il en va de même des faits auxquels ces pièces se rapportent.</w:t>
      </w:r>
    </w:p>
    <w:p>
      <w:r>
        <w:rPr>
          <w:b/>
        </w:rPr>
        <w:t>E. 2</w:t>
      </w:r>
    </w:p>
    <w:p>
      <w:r>
        <w:t>Dans un premier grief, l'appelant reproche au Tribunal d'avoir admis l'amplification des conclusions de l'intimé à l'audience du 29 novembre 2023 – sans l'avoir invité à se prononcer à ce sujet, alors qu'il n'avait pas consenti à une telle amplification – et d'avoir par conséquent statué ultra petita.</w:t>
      </w:r>
    </w:p>
    <w:p>
      <w:r>
        <w:rPr>
          <w:b/>
        </w:rPr>
        <w:t>E. 2.1.1</w:t>
      </w:r>
    </w:p>
    <w:p>
      <w:r>
        <w:t>En procédure ordinaire, la modification de la demande est régie par les art. 227</w:t>
      </w:r>
    </w:p>
    <w:p>
      <w:r>
        <w:t>- 8/16 -</w:t>
      </w:r>
    </w:p>
    <w:p>
      <w:r>
        <w:t>C/18691/2022 et 230 CPC, qui s'appliquent par analogie à la procédure simplifiée (art. 219 CPC) (arrêt du Tribunal fédéral 4A_395/2017 du 11 octobre 2018 consid. 4.4.1). Tout changement de conclusions (objet de la demande au sens étroit) constitue de facto une modification de la demande, qu'il s'agisse d'une amplification, d'un chiffrage nouveau, d'un changement de nature, d'une réduction ou d'un abandon (SCHWEIZER, CR CPC, 2ème éd., 2019, n. 14 ad art. 227 CPC). Avant l'ouverture des débats principaux, l'art. 227 al. 1 CPC prévoit que la demande peut être modifiée devant le tribunal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 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229 al. 3 CPC) (arrêt du Tribunal fédéral 4A_395/2017 précité loc. cit.). Les faits et moyens de preuve nouveaux mentionnés à l'art. 230 al. 1 let. b CPC sont ceux qui peuvent être admis à la procédure selon l'art. 229 CPC. Ils ne recouvrent pas seulement les nova au sens de l'art. 229 al. 1 CPC, soumis à condition. En effet, l'art. 230 al. 1 let. b CPC lie de manière générale l'admissibilité d'une modification de la demande avec des faits ou moyens de preuve nouveaux. Lorsque le juge établit les faits d'office, des nova sont admis sans restriction jusqu'aux délibérations (art. 229 al. 3 CPC); une modification des conclusions pourra alors se fonder sur un tel fait ou un tel moyen de preuve. La maxime inquisitoire ne prive pas de sens la condition posée par l'art. 230 al. 1 let. b CPC. Quand bien même la modification de la demande n'a pas à reposer sur des nova au sens de l'art. 229 al. 1 CPC, l'exigence de la nouveauté demeure. C'est dire que le demandeur ne saurait introduire une nouvelle conclusion en se fondant sur les seuls faits allégués précédemment (arrêt du Tribunal fédéral 4A_395/2017 précité consid. 4.4.2).</w:t>
      </w:r>
    </w:p>
    <w:p>
      <w:r>
        <w:rPr>
          <w:b/>
        </w:rPr>
        <w:t>E. 2.1.2</w:t>
      </w:r>
    </w:p>
    <w:p>
      <w:r>
        <w:t>L'admissibilité d'une modification des conclusions est une condition de recevabilité au sens de l'art. 59 CPC, qui est examinée d'office (art. 60 CPC) (arrêt du Tribunal fédéral 4A_395/2017 du 11 octobre 2018 consid. 4.3).</w:t>
      </w:r>
    </w:p>
    <w:p>
      <w:r>
        <w:t>- 9/16 -</w:t>
      </w:r>
    </w:p>
    <w:p>
      <w:r>
        <w:t>C/18691/2022 Si les conditions d'une modification de la demande ne sont pas réunies, le tribunal n'entre pas en matière sur la partie modifiée des conclusions et statue sur la demande initiale (OGer/BE ZK 15 129 du 1er juillet 2015 consid. 6.4).</w:t>
      </w:r>
    </w:p>
    <w:p>
      <w:r>
        <w:rPr>
          <w:b/>
        </w:rPr>
        <w:t>E. 2.1.3</w:t>
      </w:r>
    </w:p>
    <w:p>
      <w:r>
        <w:t>Le tribunal ne peut accorder à une partie ni plus ni autre chose que ce qui est demandé, ni moins que ce qui est reconnu par la partie adverse (art. 58 al. 1 CPC). Selon le principe de disposition consacré par l'art. 58 al. 1 CPC, les parties sont libres de déterminer ce qu'elles vont réclamer en justice; à titre de conséquence, le tribunal ne peut aller au-delà des conclusions des parties (ne ultra petita). Il ne peut donc allouer davantage que demandé ni moins que ce que la partie adverse a reconnu devoir (arrêt du Tribunal fédéral 4A_397/2016 du 30 novembre 2016 consid. 2.1). Le juge applique le droit d'office, sans se limiter aux motifs avancés par les parties. Il est en revanche lié par l'objet et le montant des conclusions qui lui sont soumises, en particulier lorsque l'intéressé qualifie ou limite ses prétentions dans les conclusions elles-mêmes (arrêts du Tribunal fédéral 4A_50/2017 du 11 juillet 2017 consid. 3.1; 4A_678/2016 du 22 mars 2016 consid. 3.2.1; 4A_440/2010 du 7 janvier 2011 consid. 3.1, n. p. aux ATF 137 III 85).</w:t>
      </w:r>
    </w:p>
    <w:p>
      <w:r>
        <w:rPr>
          <w:b/>
        </w:rPr>
        <w:t>E. 2.2</w:t>
      </w:r>
    </w:p>
    <w:p>
      <w:r>
        <w:t>En l'espèce, l'intimé a amplifié ses conclusions en paiement à l'audience du 29 novembre 2023 pendant la phase des débats principaux. La modification de la demande est en effet intervenue après les premières plaidoiries – lors desquelles l'intimé a persisté dans ses conclusions initiales, sous réserve de sa conclusion liée aux déductions LPP qu'il a retirée – et après l'audition des parties par le Tribunal, mais avant les plaidoiries finales. Pour être recevable, cette conclusion modifiée devait donc remplir les conditions de l'art. 230 al. 1 let. a et b CPC. Or tel n'était pas le cas en l'occurrence, puisque la modification de la demande – à savoir la conclusion de l'intimé tendant au paiement d'un salaire mensuel brut de 4'000 fr. pour la période du 15 mars au 30 juin 2021 – ne reposait pas sur des faits ou des moyens de preuve nouveaux (i.e. des nova survenus entre le dépôt de la demande du 25 janvier 2023 et l'ouverture des débats principaux à l'audience du 29 novembre 2023). En effet, lors de l'introduction de sa demande, l'intimé – qui était déjà assisté d'un mandataire professionnellement qualifié lors du dépôt de sa requête en conciliation le 28 septembre 2022 – n'ignorait pas qu'aucun salaire ne lui avait été versé pendant son stage. Il a d'ailleurs produit l'offre de preuve correspondante, à savoir le contrat de stage signé par les parties le 15 mars 2021, lequel stipule à son art. 5 que l'employé ne percevrait aucune rémunération pour la durée du contrat, sous réserve d'une éventuelle prime en fin de stage. Le Tribunal aurait donc dû déclarer irrecevable la conclusion modifiée prise par l'intimé lors de l'audience du 29 novembre 2023. Il ne pouvait, par conséquent, pas allouer à l'intimé plus que les 17'500 fr. bruts initialement réclamés par celui-ci dans sa demande du 25 janvier 2023. Il suit de là que le premier grief de l'appelant est fondé.</w:t>
      </w:r>
    </w:p>
    <w:p>
      <w:r>
        <w:t>- 10/16 -</w:t>
      </w:r>
    </w:p>
    <w:p>
      <w:r>
        <w:t>C/18691/2022</w:t>
      </w:r>
    </w:p>
    <w:p>
      <w:r>
        <w:rPr>
          <w:b/>
        </w:rPr>
        <w:t>E. 3</w:t>
      </w:r>
    </w:p>
    <w:p>
      <w:r>
        <w:t>L'appelant reproche ensuite au Tribunal d'avoir retenu que les clauses de la CCT- Architectes sur les salaires étaient applicables aux contrats de travail conclus par les parties et, sur cette base, d'avoir admis que l'intimé avait droit à un salaire mensuel brut de 4'000 fr. pendant toute la période travaillée. De son côté, l'intimé soutient qu'il pouvait quoi qu'il en soit prétendre au paiement du salaire minimum en vigueur dans le canton de Genève en 2021 et 2022 et, partant, réclamer le paiement d'un salaire supérieur à 4'000 fr. bruts par mois.</w:t>
      </w:r>
    </w:p>
    <w:p>
      <w:r>
        <w:rPr>
          <w:b/>
        </w:rPr>
        <w:t>E. 3.1</w:t>
      </w:r>
    </w:p>
    <w:p>
      <w:r>
        <w:t>Devant les tribunaux de première instance,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142 413 consid, 2.2.2; arrêts du Tribunal fédéral 4A_334/2012 du 16 octobre 2012 consid. 3.1; 4A_303 du 17 octobre 2018 consid. 3.2). Une nouvelle motivation juridique doit être distinguée des faits et moyens de preuve nouveaux. Elle n'est pas visée par l'art. 317 al. 1 CPC et peut dès lors être présentée tant en appel que devant le Tribunal fédéral, dans le cadre de l'objet du litige (ATF 136 V 362 consid. 4.1; 130 III 28 consid. 4.4; arrêt du Tribunal fédéral 4A_519/2011 du 28 novembre 2011 consid. 2.1). Ceci résulte en particulier du principe de l'application du droit d'office (art. 57 CPC; arrêt du Tribunal fédéral 5A_351/2015 du 1er décembre 2015 consid. 4.3). L'intimé peut – sans introduire d'appel joint – présenter des griefs dans sa réponse à l'appel, si ceux-ci visent à exposer que, même en s'écartant des constats et du raisonnement juridique du jugement de première instance, celui-ci est correct dans son résultat. L'intimé peut ainsi critiquer dans sa réponse les considérants et les constats du jugement attaqué qui pourraient lui être défavorables au cas où l'instance d'appel jugerait la cause différemment (arrêt du Tribunal fédéral 4A_258/2015 du 21 octobre 2015 consid. 2.4.2; ACJC/1600/2019 du 1er novembre 2019 consid. 1.4; ACJC/1140/2017 du 5 septembre 2017 consid. 3.4).</w:t>
      </w:r>
    </w:p>
    <w:p>
      <w:r>
        <w:rPr>
          <w:b/>
        </w:rPr>
        <w:t>E. 3.2.1</w:t>
      </w:r>
    </w:p>
    <w:p>
      <w:r>
        <w:t>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La rémunération du travailleur obéit au principe de la liberté contractuelle : le salaire fait foi (WYLER/HEINZER/WITZIG, Droit du travail, 5ème éd., 2024, p. 179). Il n'en va toutefois pas ainsi quand les parties sont soumises, de quelque manière que ce soit, à une convention collective de travail prévoyant un salaire supérieur à celui qu'elles ont arrêté; dans ce cas, le salaire supérieur remplace le salaire convenu</w:t>
      </w:r>
    </w:p>
    <w:p>
      <w:r>
        <w:t>- 11/16 -</w:t>
      </w:r>
    </w:p>
    <w:p>
      <w:r>
        <w:t>C/18691/2022 (art. 322 al.1 et 357 al. 2 CO) (ATF 129 III 618 consid. 5.1; 122 III 110 consid. 4; arrêt du Tribunal fédéral 4C_369/2006 du 16 janvier 2007 consid. 3.2).</w:t>
      </w:r>
    </w:p>
    <w:p>
      <w:r>
        <w:rPr>
          <w:b/>
        </w:rPr>
        <w:t>E. 3.2.2</w:t>
      </w:r>
    </w:p>
    <w:p>
      <w:r>
        <w:t>Selon l'art. 357 al. 1 CO, les clauses normatives de la convention collective de travail (CCT) – dont notamment celles relatives au salaire – n'ont en principe d'effet direct et impératif qu'envers les employeurs et travailleurs qu'elles lient. De telles clauses s'appliquent automatiquement, sans incorporation dans le contrat de travail, et les parties ne peuvent y déroger contractuellement au détriment du salarié. Comme l'indique expressément l'art. 357 al. 1 CO, ces effets supposent que les deux parties sont liées. Tel est le cas pour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et ont obtenu le consentement des parties (cf. ATF 123 III 129 consid. 3a). En outre, le champ d'application de la convention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(ATF 139 III 60 consid. 5.1; 141 III 418 consid. 2.1). Par ailleurs, un employeur, lié ou non, peut convenir avec un travailleur non lié d'incorporer dans le contrat individuel de travail les dispositions d'une CCT; celle- ci ne produit alors pas directement un effet normatif, mais les parties peuvent exiger le respect de la CCT en réclamant l'exécution des clauses du contrat qui reprennent les dispositions conventionnelles (effets dits indirects de la CCT; ATF 123 III 129 consid. 3c). La CCT est alors intégrée de manière conventionnelle au contrat; elle ne s'applique qu'en vertu de la volonté commune des parties. Corollairement, l'employeur conserve, en principe, la faculté de résilier le contrat de travail et d'en proposer un nouveau dérogeant aux clauses normatives de la CCT en défaveur du travailleur. Les parties peuvent convenir de n'intégrer à leur contrat individuel que certaines clauses de la CCT ou s'accorder sur un ordre de subsidiarité selon lequel les dispositions de la CCT ne s'appliqueront qu'à défaut de dispositions particulières dans le contrat individuel (ATF 141 III 418 consid. 2.1; 139 III 60 consid. 5.1; WYLER/HEINZER/WITZIG, op. cit., p. 1144). Dans un arrêt du 12 octobre 2004, le Tribunal fédéral a été amené à statuer sur les effets d'une clause d'un contrat de travail, laquelle renvoyait, pour tous les points que ledit contrat ne traitait pas, au Code des obligations et à la CCT de la branche de travail concernée. Le Tribunal fédéral a retenu que, dans la mesure où l'employeur n'était pas membre de l'association signataire de la CCT en cause, ni personnellement partie à la CCT, et dans la mesure où la CCT n'avait pas fait l'objet d'une déclaration de soumission volontaire admise par les parties à la convention (art. 356b CO), ni été étendue, le renvoi à la CCT figurant dans le contrat de travail ne pouvait que déployer des effets indirects, de sorte que les parties restaient libres</w:t>
      </w:r>
    </w:p>
    <w:p>
      <w:r>
        <w:t>- 12/16 -</w:t>
      </w:r>
    </w:p>
    <w:p>
      <w:r>
        <w:t>C/18691/2022 de déroger au salaire prévu conventionnellement (arrêt du Tribunal fédéral 4C_276/2004 du 12 octobre 2004 consid. 7.2). Par ailleurs, dans un arrêt du 14 février 2003, le Tribunal fédéral a retenu qu'en mentionnant la CCT dans leur contrat de travail, les parties voulaient seulement s'y référer dans la mesure où elles n'y avaient pas dérogé, de sorte que l'on ne saurait voir dans cette mention une intégration conventionnelle de la CCT dans le contrat (arrêt du Tribunal fédéral 4C_310/2002 du 14 février 2003 consid. 4.1). Lorsqu'une personne salariée ou une entreprise adhère à l'une des associations signataires de la CCT, elle acquiert immédiatement, mais sans effet rétroactif, la qualité de personne liée par la CCT (MEIER, CR CO I, 3ème éd., 2021, n. 3 ad art. 356 CO).</w:t>
      </w:r>
    </w:p>
    <w:p>
      <w:r>
        <w:rPr>
          <w:b/>
        </w:rPr>
        <w:t>E. 3.2.3</w:t>
      </w:r>
    </w:p>
    <w:p>
      <w:r>
        <w:t>Depuis le 1er novembre 2020, la loi cantonale sur l'inspection des relations de travail (LIRT – RS/GE J 1 05) a introduit un salaire minimum aux relations de travail des travailleurs accomplissant habituellement leur travail dans le canton de Genève (art. 39I LIRT), soit ceux dont l'activité est accomplie dans le canton de manière exclusive, prépondérante ou régulière (art. 56D du règlement d'application genevois de la LIRT [RIRT – RS/GE J 1 05.01]). Le salaire minimum, initialement fixé à 23 fr. l'heure (art. 39K al. 1 LIRT), est indexé chaque année sur la base de l'indice des prix à la consommation (art. 39K al. 4 LIRT). Il a ainsi été augmenté à 23 fr. 14 au 1er janvier 2021 et à 23 fr. 27 au 1er janvier 2022, par divers arrêtés du Conseil d'Etat (art. 56F al. 4 RIRT). Il s'élève à 24 fr. 32 bruts par heure depuis le 1er janvier 2024. Pour 42 heures de travail par semaine, le salaire minimum mensuel brut était de 4'211 fr. 48 en 2021 et de 4'235 fr. 14 en 2022. Le calcul est le suivant : (nombre d'heures de travail par semaine) x (52/12) x salaire horaire minimum (cf. site de la Confédération suisse, www.eda.admin.ch, Manuel : Droit suisse du travail, Salaire minimum dans le canton de Genève). Par salaire, il faut entendre le salaire déterminant au sens de la législation en matière d'assurance-vieillesse et survivants, à l'exclusion d'éventuelles indemnités payées pour jours de vacances et pour jours fériés (art. 39K al. 4 LIRT). Conformément à l'art. 39L LIRT, si le salaire prévu par un contrat individuel, une CCT ou un contrat-type est inférieur à celui fixé à l'art. 39K, c'est ce dernier qui s'applique. Selon l'art. 39J LIRT, les dispositions sur le salaire minimum ne sont pas applicables aux contrats d'apprentissage au sens des art. 344 ss CO (let. a), aux contrats de stage s'inscrivant dans une formation scolaire ou professionnelle prévue par la législation cantonale ou fédérale (let. b; par ex. maturité professionnelle, école supérieure, HES, université; cf. https://www.ge.ch/engager-personne- stage/stages-formation-insertion-reconnus) et aux contrats de travail conclus avec des jeunes gens de moins de 18 ans révolus (let. c).</w:t>
      </w:r>
    </w:p>
    <w:p>
      <w:r>
        <w:t>- 13/16 -</w:t>
      </w:r>
    </w:p>
    <w:p>
      <w:r>
        <w:t>C/18691/2022</w:t>
      </w:r>
    </w:p>
    <w:p>
      <w:r>
        <w:rPr>
          <w:b/>
        </w:rPr>
        <w:t>E. 3.2.4</w:t>
      </w:r>
    </w:p>
    <w:p>
      <w:r>
        <w:t>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 al. 2 CO), que l'activité est ou sera fournie gratuitement, avec cette conséquence que leur relation n'est pas soumise aux règles du contrat de travail. Lorsque les parties se sont liées par un contrat de travail mais n'ont pas arrêté le montant du salaire, l'employeur doit payer le salaire usuel ou fixé par un contrat- type ou une convention collective de travail (art. 322 al. 1 CO) (arrêt du Tribunal fédéral 4A_641/2012 du 6 mars 2013 consid. 2). La délimitation entre la qualification de contrat de stage non rémunéré et celle de contrat de stage soumis aux règles du contrat de travail et réalisé en contrepartie d'un salaire (art. 320 al. 2 CO) dépend de l'ensemble des circonstances du cas concret. La liberté des parties de convenir de la gratuité de la prestation du stagiaire est restreinte par l'art. 320 al. 2 CO. Un stage échappe au droit du travail lorsqu'il est effectué dans l'intérêt prépondérant du stagiaire, en vue de l'acquisition d'une expérience pratique. En revanche, lorsque le maître de stage a un intérêt objectif à la prestation fournie par le stagiaire, l'art. 320 al. 2 CO s'applique : le stage relève alors du contrat de travail et donne droit à un salaire (arrêt du Tribunal fédéral 4A_150/2023 du 30 novembre 2023 consid. 5.1 et les références citées).</w:t>
      </w:r>
    </w:p>
    <w:p>
      <w:r>
        <w:rPr>
          <w:b/>
        </w:rPr>
        <w:t>E. 3.3</w:t>
      </w:r>
    </w:p>
    <w:p>
      <w:r>
        <w:t>En l'espèce, les contrats conclus par les parties (i.e. le contrat de stage du 15 mars 2021 et le contrat de travail du 2 août 2021) stipulent, à leur art. 13, que les "dispositions légales du droit suisse sur le contrat du travail " et la CCT-Architectes (i.e. la CCT conclue entre la C______ et les syndicats D______ et E______ en février 2017) sont applicables "pour tout ce qui n'est pas expressément prévu par le présent contrat". Ainsi qu'on l'a vu supra (cf. consid. 1.4.2), l'appelant a valablement allégué devant la Cour qu'il n'était pas membre de la C______ ni personnellement partie à la CCT- Architectes, d'une part, et que l'intimé n'était affilié à aucun syndicat lors de la conclusion des contrats litigieux, d'autre part. Ces allégués n'ont pas été contestés par l'intimé, lequel ne soutient pas que les parties auraient fait une déclaration de soumission volontaire à la CCT-Architectes au sens de l'art. 356b CO. Il est par ailleurs constant que le champ d'application de la CCT-Architectes n'a pas été étendu à tous les employeurs et travailleurs de la branche économique concernée. Partant, l'appelant soutient à bon droit que le renvoi à la CCT-Architectes prévu à l'art. 13 des contrats susvisés ne pouvait que déployer des effets indirects, de sorte que les parties restaient libres de déroger aux salaires prévus conventionnellement, comme elles l'ont fait à l'art. 5 de ces contrats.</w:t>
      </w:r>
    </w:p>
    <w:p>
      <w:r>
        <w:t>- 14/16 -</w:t>
      </w:r>
    </w:p>
    <w:p>
      <w:r>
        <w:t>C/18691/2022 Aussi, contrairement à ce qu'a retenu le Tribunal, les clauses de la CCT-Architectes n'avaient pas vocation à s'appliquer aux relations contractuelles des parties pour ce qui concerne la rémunération de l'intimé.</w:t>
      </w:r>
    </w:p>
    <w:p>
      <w:r>
        <w:rPr>
          <w:b/>
        </w:rPr>
        <w:t>E. 3.4</w:t>
      </w:r>
    </w:p>
    <w:p>
      <w:r>
        <w:t>Il reste à examiner si le salaire minimum genevois était applicable aux relations de travail des parties – ainsi que le plaide l'intimé devant le Cour– et si celui-ci avait droit à un salaire supérieur à celui prévu contractuellement. Cette nouvelle motivation juridique de l'intimé, qui s'inscrit dans le cadre de l'objet du litige, est en effet recevable, la Cour appliquant le droit d'office.</w:t>
      </w:r>
    </w:p>
    <w:p>
      <w:r>
        <w:rPr>
          <w:b/>
        </w:rPr>
        <w:t>E. 3.4.1</w:t>
      </w:r>
    </w:p>
    <w:p>
      <w:r>
        <w:t>Il ressort des explications des parties et des pièces produites, en particulier des contrats des 15 mars et 2 août 2021, que l'intimé accomplissait habituellement son activité au service de l'appelant dans le canton de Genève, à un taux d'occupation de 100%, soit à raison de 42 heures par semaine. Les prestations de travail fournies par l'intimé étaient donc soumises aux dispositions de la LIRT sur le salaire minimum, sous réserve des exceptions prévues à l'art. 39J LIRT. S'agissant du contrat de stage du 15 mars 2021, les parties conviennent que lors de son engagement, l'intimé était déjà titulaire d'un Bachelor en architecture ______ délivré par la HEAD. L'art. 5 de ce contrat stipulait certes que l'intimé ne percevrait aucune rémunération pendant son stage, sous réserve d'une éventuelle prime en fin de stage. Toutefois, vu son niveau de formation et le nombre d'heures de travail accomplies, les circonstances de l'espèce ne permettent pas de retenir que le stage aurait été effectué dans l'intérêt prépondérant de l'intimé. Il apparaît au contraire que l'appelant tirait un avantage objectif des services rendus par l'intimé, raison pour laquelle il l'a ensuite rapidement engagé comme travailleur salarié. Ce stage relevait dès lors du contrat de travail et donnait droit à un salaire. Par ailleurs, il ne ressort pas du dossier que l'intimé aurait été inscrit à un cours de Master (ou à un autre cours de Bachelor) auprès de la HEAD ou d'un autre institut de formation ou d'études pendant l'année 2021. De même, aucun élément concret ne permet de retenir que l'intimé aurait effectué son stage auprès de l'appelant dans le cadre d'une formation scolaire ou professionnelle prévue par la législation cantonale ou fédérale, ou que ce stage aurait été nécessaire à l'obtention d'un diplôme, ou encore qu'il aurait été validé par l'attribution de crédits d'études. Devant le Tribunal, l'intimé a du reste déclaré – sans être contredit par l'appelant – qu'il n'avait pas signé ce contrat en vue d'obtenir un diplôme complémentaire. Or, dès lors que le stage ne s'inscrivait pas dans une formation au sens de l'art. 39L LIRT, l'intimé soutient avec raison que les prestations de travail qu'il a fournies de mi-mars à juin 2021 devaient être rémunérées selon le salaire minimum alors en vigueur à Genève. Le même constat s'impose s'agissant du contrat de travail du 2 août 2021 qui a été conclu pour une durée indéterminée. Le certificat de travail du 30 septembre 2022, précise d'ailleurs qu'à l'issue de son "stage d'architecture", l'intimé avait été engagé comme "dessinateur" du 1er juillet 2021 au 31 octobre 2022, tandis que l'appelant a précisé, à l'attention de l'assurance-chômage, que l'intimé avait occupé un "emploi</w:t>
      </w:r>
    </w:p>
    <w:p>
      <w:r>
        <w:t>- 15/16 -</w:t>
      </w:r>
    </w:p>
    <w:p>
      <w:r>
        <w:t>C/18691/2022 à plein temps" comme "architecte dessinateur", sans évoquer un quelconque stage. Le salaire minimum genevois était ainsi également applicable aux prestations de travail fournies par l'intimé de juillet 2021 à août 2022.</w:t>
      </w:r>
    </w:p>
    <w:p>
      <w:r>
        <w:rPr>
          <w:b/>
        </w:rPr>
        <w:t>E. 3.4.2</w:t>
      </w:r>
    </w:p>
    <w:p>
      <w:r>
        <w:t>Il en découle que pour la période de mi-mars à juin 2021, l'intimé pouvait prétendre à un salaire mensuel brut de 4'211 fr. 48 pour 42 heures de travail hebdomadaire. L'appelant aurait ainsi dû lui verser un salaire totalisant 14'740 fr. 18 (4'211 fr. 48 x 3.5 mois) pour cette période. De juillet à décembre 2021, l'intimé aurait dû percevoir un salaire mensuel brut de 4'211 fr. 48 pour 42 heures de travail hebdomadaire, en lieu et place du salaire mensuel de 3'000 fr. qui lui a été payé, soit une différence de 1'211 fr. 48 par mois. L'appelant était ainsi tenu de verser à l'intimé un montant supplémentaire de 7'268 fr. 88 (1'211 fr. 48 x 6 mois) pour cette période. De janvier à août 2022, le salaire mensuel brut minimum était de 4'235 fr. 14 pour 42 heures de travail par semaine, soit une différence mensuelle de 1'235 fr. 14 par rapport au salaire que l'intimé a perçu. L'appelant aurait dû lui verser un montant additionnel de 9'881 fr. 12 (1'235 fr. 14 x 8 mois) pour cette période. En application du salaire minimum, l'intimé pouvait donc prétendre au paiement d'un montant brut supplémentaire de 31'890 fr. 18 (14'740 fr. 18 + 7'268 fr. 88 + 9'881 fr. 12) à titre de salaire pour la période du 15 mars 2021 au 31 août 2022.</w:t>
      </w:r>
    </w:p>
    <w:p>
      <w:r>
        <w:rPr>
          <w:b/>
        </w:rPr>
        <w:t>E. 3.5</w:t>
      </w:r>
    </w:p>
    <w:p>
      <w:r>
        <w:t>Cela étant, vu la maxime de disposition applicable à la présente cause, la Cour ne saurait allouer à l'intimé davantage que la somme brute de 17'500 fr. réclamée dans sa demande du 25 janvier 2023 (cf. supra consid. 2.2). En conséquence, le chiffre 3 du dispositif du jugement querellé sera annulé et il sera statué à nouveau, en ce sens que l'appelant sera condamné à payer cette somme à l'intimé, intérêts moratoires en sus.</w:t>
      </w:r>
    </w:p>
    <w:p>
      <w:r>
        <w:rPr>
          <w:b/>
        </w:rPr>
        <w:t>E. 4</w:t>
      </w:r>
    </w:p>
    <w:p>
      <w:r>
        <w:t>L'appelant a également conclu à l'annulation des chiffres 2 et 4 à 7 du dispositif du jugement querellé, concernant la délivrance des fiches de salaire. Il n'a toutefois formulé aucune critique motivée contre la décision attaquée sur cette question. Il n'y a donc pas lieu d'entrer en matière sur ce grief, qui est irrecevable puisque dépourvu de toute motivation.</w:t>
      </w:r>
    </w:p>
    <w:p>
      <w:r>
        <w:rPr>
          <w:b/>
        </w:rPr>
        <w:t>E. 5</w:t>
      </w:r>
    </w:p>
    <w:p>
      <w:r>
        <w:t>La valeur litigieuse étant inférieure à 50'000 fr., il ne sera pas perçu de frais judiciaires (art. 71 RTFMC). Il n'est pas alloué de dépens ni d'indemnité pour la représentation en justice dans les causes soumises à la juridiction des prud'hommes (art. 22 al. 2 LaCC). * * * * *</w:t>
      </w:r>
    </w:p>
    <w:p>
      <w:r>
        <w:t>- 16/16 -</w:t>
      </w:r>
    </w:p>
    <w:p>
      <w:r>
        <w:t>C/18691/2022 PAR CES MOTIFS, La Chambre des prud'hommes :</w:t>
      </w:r>
    </w:p>
    <w:p>
      <w:r>
        <w:t>A la forme : Déclare recevable l'appel formé le 15 avril 2024 par A______ contre le jugement JTPH/39/2024 rendu le 27 février 2024 par le Tribunal des prud'hommes dans la cause C/18691/2022. Au fond : Annule le chiffre 3 du dispositif du jugement attaqué et, cela fait, statuant à nouveau sur ce point : Condamne A______ à verser à B______ la somme brute de 17'500 fr. avec intérêts à 5% l'an dès le 1er septembre 2022. Invite la partie qui en a la charge à opérer les déductions sociales et légales usuelles. Confirme le jugement attaqué pour le surplus. Dit qu'il n'est pas perçu de frais judiciaires ni alloué de dépens d'appel. Déboute les parties de toutes autres conclusions. Siégeant : Madame Nathalie RAPP,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