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ACJC/879/2021 vom 2. Juli 2021</w:t>
      </w:r>
    </w:p>
    <w:p>
      <w:r>
        <w:t>GE Cour de justice, 2021-07-02, FR</w:t>
      </w:r>
    </w:p>
    <w:p>
      <w:r>
        <w:rPr>
          <w:b/>
        </w:rPr>
        <w:t xml:space="preserve">Quelle: </w:t>
      </w:r>
      <w:r>
        <w:t>https://mcp.opencaselaw.ch/entscheid/ge_gerichte_ACJC_879_2021</w:t>
      </w:r>
    </w:p>
    <w:p>
      <w:r>
        <w:t>FR: GE_GERICHTE ACJC/879/2021 du 2 juillet 2021</w:t>
      </w:r>
    </w:p>
    <w:p>
      <w:r>
        <w:t>IT: GE_GERICHTE ACJC/879/2021 del 2 luglio 2021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w:t>
      </w:r>
    </w:p>
    <w:p>
      <w:r>
        <w:t>- 10/23 -</w:t>
      </w:r>
    </w:p>
    <w:p>
      <w:r>
        <w:t>C/18297/2020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t>En l'espèce, l'appel a été introduit en temps utile (art. 271 CPC et 314 al. 1 CPC) et selon la forme prescrite par la loi (art. 311 al. 1 CPC). Dès lors que le litige porte, notamment, sur les droits parentaux, soit sur une affaire non pécuniaire dans son ensemble, la voie de l'appel est ouverte indépendamment de la valeur litigieuse (arrêts du Tribunal fédéral 5A_781/2015 du 14 mars 2016 consid. 1 et 5A_331/2015 du 20 janvier 2016 consid. 1). Il est donc recevable.</w:t>
      </w:r>
    </w:p>
    <w:p>
      <w:r>
        <w:t>L'écriture de l'appelant du 28 avril 2021, déposée moins de dix jours après la réception de l'écriture de réponse de l'intimée, est également recevable, en vertu du droit inconditionnel de celui-ci à la réplique (cf. par exemple ATF 142 III 48 consid. 4.1.1 et arrêt du Tribunal fédéral 5D_74/2019 du 29 mai 2019 consid. 4.1).</w:t>
      </w:r>
    </w:p>
    <w:p>
      <w:r>
        <w:rPr>
          <w:b/>
        </w:rPr>
        <w:t>E. 1.2</w:t>
      </w:r>
    </w:p>
    <w:p>
      <w:r>
        <w:t>La Cour revoit la cause en fait et en droit avec un plein pouvoir d'examen (art. 310 CPC) mais uniquement dans la limite des griefs qui sont formulés (ATF 142 III 413 consid. 2.2.4). La procédure sommaire étant applicable, la cognition du juge est toutefois limitée à la simple vraisemblance des faits et à un examen sommaire du droit (ATF 138 III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t>La Cour étant suffisamment renseignée pour statuer sur les points faisant l'objet de l'appel, il ne sera pas donné suite à la conclusion préalable de l'appelant tendant au renvoi de la cause au premier juge pour complément d'instruction ainsi qu'aux mesures d'instruction sollicitées, à savoir l'audition des parties, ainsi que l'apport de la main courante qui aurait été déposée par l'intimée à l'encontre de sa fille, dont l'existence n'a pas été prouvée, de sorte que la cause est en état d'être jugée.</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t>- 11/23 -</w:t>
      </w:r>
    </w:p>
    <w:p>
      <w:r>
        <w:t>C/18297/2020</w:t>
      </w:r>
    </w:p>
    <w:p>
      <w:r>
        <w:t>La maxime des débats et le principe de disposition sont applicables aux contributions d'entretien entre ex-époux (art. 55 al. 1, 58 al. 1 et 277 al. 1 CPC).</w:t>
      </w:r>
    </w:p>
    <w:p>
      <w:r>
        <w:rPr>
          <w:b/>
        </w:rPr>
        <w:t>E. 2</w:t>
      </w:r>
    </w:p>
    <w:p>
      <w:r>
        <w:t>L'appelant et l'intimée ont produit des pièces nouvelles en appel.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Par ailleurs,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Dans les causes de droit matrimonial concernant les enfants mineurs, soumises à la maxime inquisitoire illimitée, les pièces nouvelles sont recevables, même si les conditions de l'art. 317 al. 1 CPC ne sont pas réunies (ATF 144 III 349 consid. 4.2.1). 2.1.2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n'entrant pas en considération dans ce cadre (ACJC/1159/2020 du 14 avril 2020 consid. 4.1; ACJC/774/2018 du 14 juin 2018</w:t>
      </w:r>
    </w:p>
    <w:p>
      <w:r>
        <w:t>- 12/23 -</w:t>
      </w:r>
    </w:p>
    <w:p>
      <w:r>
        <w:t>C/18297/2020 consid. 5.1; ACJC/592/2017 du 19 mai 2017 consid. 4; HOHL, Procédure civile, tome II, 2010, n. 2392). 2.1.3 Selon l'art. 152 al. 2 CPC, le tribunal ne prend en considération les moyens de preuve obtenus de manière illicite que si l'intérêt à la manifestation de la vérité est prépondérant. La preuve illicite obtenue en violation d'une norme de droit matériel, laquelle doit protéger le bien juridique lésé contre l'atteinte en cause (arrêt du Tribunal fédéral 4A_294/2013 du 11 décembre 2013 consid. 3.1 et les références citées), n'est utilisable que d'une manière restrictive. Le juge doit en particulier procéder à une pesée de l'intérêt à la protection du bien lésé par l'obtention illicite et de l'intérêt à la manifestation de la vérité (arrêt du Tribunal fédéral 4A_294/2013 du 11 décembre 2013 consid. 3.1 et les références citées). Lorsque le bien-être d'un enfant est en cause, la doctrine considère qu'il se justifie de faire usage d'enregistrements de conversations privées prises en violation des art. 179bis et 179ter CP (SCHWEIZER, in CPC, Code de procédure civile commenté, BOHNET/HALDY/JEANDIN/SCHWEIZER/TAPPY, 2011, n. 22 ad art. 152 CPC; SCHMID, Kurzkommentar ZPO, OBERHAMMER, 2ème édition, 2014, n. 15 ad art. 152 CPC; HOHL, Procédure civile, 2016, p. 335-336 no 2020, 2023 et 2024). 2.2.1 En l'espèce, l'appelant a produit un certificat daté du 4 mars 2021 du Dr H______, spécialiste FMH en chirurgie orthopédique et traumatologique, attestant qu'il ne sera pas en mesure d'effectuer un déménagement ni d'efforts physiques jusqu'au 14 juillet 2021 en raison d'une intervention chirurgicale. Cette pièce ne concerne pas l'enfant mineur, de sorte que les conditions de l'art. 317 al. 1 CPC doivent être remplies. Dès lors que l'appelant admet lui-même que cette opération était déjà prévue lors de la procédure de première instance, il était en mesure de produire une telle attestation devant le premier juge, de sorte qu'il n'a pas fait preuve de la diligence requise. Cette pièce ne sera ainsi pas prise en considération, de même que les faits qui s'y rapportent. Pour le surplus, les pièces nouvelles produites par les parties en appel, relatives à leur situation personnelle et financière, sont recevables. Certes, la pièce 4 produite par l'intimée à l'appui de sa réponse ne consiste pas en une pièce en tant que telle, le procédé utilisé étant inhabituel, mais doit être considérée comme faisant partie de ladite réponse, et donc recevable, sans préjudice de sa pertinence. Les enregistrements produits par l'appelant sur une clé USB, réalisés à l'insu de l'intimée, ont été obtenus de manière illicite. Ces enregistrements ne sont pas pertinents pour l'issue du litige, de sorte qu'il n'est pas nécessaire de trancher la question de leur recevabilité.</w:t>
      </w:r>
    </w:p>
    <w:p>
      <w:r>
        <w:t>- 13/23 -</w:t>
      </w:r>
    </w:p>
    <w:p>
      <w:r>
        <w:t>C/18297/2020 2.2.2 L'appelant a conclu en dernier lieu en première instance à une garde partagée de C______ alors qu'il conclut principalement en appel à une garde exclusive en sa faveur. Bien que cette conclusion nouvelle ne repose sur aucun fait nouveau, il sera entré en matière sur ce point, dès lors que cet aspect du litige est régi par la maxime d'office, étant rappelé que le juge n'est pas lié par les conclusions des parties dans ce cadre (art. 296 al. 3 CPC).</w:t>
      </w:r>
    </w:p>
    <w:p>
      <w:r>
        <w:rPr>
          <w:b/>
        </w:rPr>
        <w:t>E. 3</w:t>
      </w:r>
    </w:p>
    <w:p>
      <w:r>
        <w:t>L'appelant sollicite l'institution d'une curatelle de représentation en faveur de C______.</w:t>
      </w:r>
    </w:p>
    <w:p>
      <w:r>
        <w:rPr>
          <w:b/>
        </w:rPr>
        <w:t>E. 3.1</w:t>
      </w:r>
    </w:p>
    <w:p>
      <w:r>
        <w:t>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à des questions importantes concernant leurs relations personnelles avec l'enfant (let. a), de même que si l'autorité tutélaire ou l'un des parents le requièrent (let. b). Toutefois, même dans ce cas, l'autorité a uniquement un devoir de vérifier si la désignation d'un curateur à l'enfant est nécessaire, non une obligation d'instituer une curatelle de représentation à l'enfant. Partant, l'autorité dispose d'une marge d'appréciation dans ce domaine (arrêt du Tribunal fédéral 5A_303/2016 du 10 octobre 2016 consid. 5.2).</w:t>
      </w:r>
    </w:p>
    <w:p>
      <w:r>
        <w:rPr>
          <w:b/>
        </w:rPr>
        <w:t>E. 3.2</w:t>
      </w:r>
    </w:p>
    <w:p>
      <w:r>
        <w:t>En l'espèce, les parties ont pris des conclusions divergentes s'agissant de la garde et de l'exercice du droit de visite sur C______. Toutefois, le dossier comprend un rapport circonstancié du SEASP, contenant notamment un compte- rendu de l'audition de C______ et cette dernière a également été entendue par le SPMi le 12 mai 2021. Ces éléments sont suffisants pour donner à la Cour une vue d’ensemble de la situation concrète de l’enfant. De plus, la procédure de mesures protectrices de l'union conjugale touche à son terme. La désignation d'un curateur de représentation ne se justifie ainsi pas en l'état, sur mesures protectrices de l'union conjugale. L'appelant sera donc débouté de sa requête.</w:t>
      </w:r>
    </w:p>
    <w:p>
      <w:r>
        <w:rPr>
          <w:b/>
        </w:rPr>
        <w:t>E. 4</w:t>
      </w:r>
    </w:p>
    <w:p>
      <w:r>
        <w:t>Le Tribunal a considéré que la situation de C______, trop impliquée dans le conflit de ses parents, était préoccupante. Son père, même s'il était affectueux et très investi dans sa prise en charge, peinait à répondre à ses besoins car il la surprotégeait. Les capacités parentales de l'intimée n'avaient quant à elles été remises en cause par aucun intervenant social ou médical. Elle était davantage que le père à l'écoute de sa fille et plus en mesure de lui poser quelques règles d'éducation. Elle était en outre à même de favoriser la mise en place du suivi psychologique nécessaire pour C______, contrairement au père.</w:t>
      </w:r>
    </w:p>
    <w:p>
      <w:r>
        <w:t>- 14/23 -</w:t>
      </w:r>
    </w:p>
    <w:p>
      <w:r>
        <w:t>C/18297/2020 L'appelant reproche au premier juge d'avoir attribué la garde de l'enfant à sa mère alors que C______ serait en danger avec elle. Il se réfère en particulier à l'épisode faisant l'objet de la procédure P/1______/2021. Il sollicite ainsi la garde de C______ ainsi que l'octroi d'un large droit de visite à l'intimée, subsidiairement le prononcé d'une garde alternée entre les parties.</w:t>
      </w:r>
    </w:p>
    <w:p>
      <w:r>
        <w:rPr>
          <w:b/>
        </w:rPr>
        <w:t>E. 4.1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La garde alternée est la situation dans laquelle les parents exercent en commun l'autorité parentale, mais se partagent la garde de l'enfant de manière alternée pour des périodes plus ou moins égales (arrêt du Tribunal fédéral 5A_557/2020 du 2 février 2021 consid. 3.1).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w:t>
      </w:r>
    </w:p>
    <w:p>
      <w:r>
        <w:t>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5A_260/2019 du 5 novembre 2019 consid. 3.1; arrêt du Tribunal fédéral 5A_534/2019 du 31 janvier 2020 consid. 3.1).</w:t>
      </w:r>
    </w:p>
    <w:p>
      <w:r>
        <w:t>- 15/23 -</w:t>
      </w:r>
    </w:p>
    <w:p>
      <w:r>
        <w:t>C/18297/2020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w:t>
      </w:r>
    </w:p>
    <w:p>
      <w:r>
        <w:t>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Le juge n'est pas lié par les conclusions du SEASP (ancien SPMi). Le rapport de ce service (lequel constitue une preuve au sens des art. 168 et 190 CPC) est soumis, à l'instar des autres preuves, au principe de la libre appréciation consacré par l'art. 157 CPC (arrêts du Tribunal fédéral 5A_794/2017 du 7 février 2018 consid. 4.1; 5A_512/2017 22 décembre 2017 consid. 3.4.3 in fine;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w:t>
      </w:r>
    </w:p>
    <w:p>
      <w:r>
        <w:t>- 16/23 -</w:t>
      </w:r>
    </w:p>
    <w:p>
      <w:r>
        <w:t>C/18297/2020 consid. 3.1.2; ACJC/993/2017 du 10 août 2017 consid. 5.1; ACJC/372/2017 du 28 mars 2017 consid. 5.1). 4.2.1 En l'espèce, les rapports entre les parties sont très conflictuels, de sorte que C______ n'est pas protégée de leurs différends et souffre de cet état de fait. Les parties sont incapables de communiquer sereinement, se contredisent dans leurs principes éducatifs et ne parviennent pas à poser ensemble un cadre éducatif stable qui permettrait à l'enfant de se développer de manière harmonieuse. Ces difficultés, dont l'intensité a été soulignée encore tout récemment par les services sociaux, ressortent au demeurant des propos tenus par les parties elles- mêmes l'une envers l'autre. La mise en place d'une garde alternée apparaît ainsi contraire à l'intérêt de C______, ce d'autant plus que l'on ignore si les parties pourront être domiciliées dans le même quartier à l'avenir. Il convient par conséquent de statuer sur l'attribution de la garde de l'enfant à l'un des parents. 4.2.2 Les considérants développés par le Tribunal sur ce point sont convaincants. C______, qui est au seuil de son adolescence, a besoin d'un cadre éducatif stable et serein qui lui permette de se développer dans de bonnes conditions. Il ressort de la procédure que l'intimée, qui est soucieuse du bien-être de sa fille, tout en parvenant à lui poser les limites nécessaires, est actuellement plus à même que l'appelant d'exercer les responsabilités qu'impliquent la garde de l'enfant. Même si l'appelant s'est occupé principalement de l'enfant depuis que l'intimée travaille, les différents éléments ressortant de la procédure, notamment le rapport du SEASP, qui est, contrairement à ce qu'allègue l'appelant, particulièrement détaillé et convaincant, permettent de retenir que l'intimée offre actuellement de meilleures capacités parentales que l'appelant. L'emploi à 80 % de l'intimée lui permet d'être présente auprès de C______ lorsque l'enfant n'est pas à l'école, de sorte que son activité professionnelle n'est pas un obstacle à ce que la garde de l’enfant lui soit confiée. Contrairement à ce que soutient l'appelant, qui reproche au premier juge une instruction trop sommaire de la cause, le Tribunal a tenu compte de tous les éléments pertinents pour statuer sur la garde de C______. En particulier, le rapport d'évaluation sociale prend en compte de nombreux éléments objectifs, basés sur les déclarations d'intervenants scolaires, médicaux ou sociaux qui connaissent la situation de l'enfant.</w:t>
      </w:r>
    </w:p>
    <w:p>
      <w:r>
        <w:t>- 17/23 -</w:t>
      </w:r>
    </w:p>
    <w:p>
      <w:r>
        <w:t>C/18297/2020 Il en ressort que l'appelant a du mal à respecter les règles qui ont été fixées à plusieurs reprises par le corps enseignant et la direction de l'école, réagit excessivement vivement à tout ce qui concerne sa fille et peine à voir les besoins réels de C______. Cela est corroboré par les constatations du pédiatre de l'enfant qui a déclaré que l'appelant était surprotecteur avec sa fille, ce qui l'empêchait de se développer. En outre, l'appelant, au lieu de tenir l'enfant à l'écart du conflit conjugal, la prend parfois à témoin, ce qui est contraire à son intérêt. Contrairement aux allégués de l'appelant, il ne peut être considéré que l'intimée n'aurait pas protégé sa fille face à ses problèmes scolaires et à une attitude inadéquate du pédiatre, l'existence de tels problèmes n'étant au demeurant pas établie. Les désaccords ponctuels qui se sont produits entre l'intimée et sa fille ne dépassent pas les difficultés usuelles pouvant survenir dans une famille. Ces éléments ne permettent pas de remettre en cause ses capacité parentales, ni de retenir que l'intimée se montrerait maltraitante à l'égard de sa fille. L'incident faisant l'objet de la procédure pénale P/1______/2021 en cours est à cet égard un cas isolé, ce qu'a confirmé C______. Il ressort de plus de la procédure que l'enfant, qui se trouve dans un conflit de loyauté, a tendance à exploiter les dissensions entre ses parents pour obtenir ce qu'elle veut, de sorte que ses affirmations doivent être considérées avec retenue. A cela s'ajoute qu'il est nécessaire, pour le bon développement de C______ et compte tenu des difficultés auxquelles elle est confrontée en raison notamment de la situation familiale tendue, qu'elle ait la possibilité d'avoir un soutien psychologique. L'opposition de l'appelant à une telle mesure thérapeutique, préconisée à juste titre par les services sociaux, n'est pas dans l'intérêt de l'enfant. Le refus exprimé par cette dernière n'est quant à lui pas décisif, compte tenu de son âge et du fait que sa position est susceptible d'avoir été influencée par l'attitude de son père. Les déclarations écrites de certains de ses proches produites par l'appelant ne permettent pas d'arriver à une conclusion différente de ce qui précède, ce d'autant plus que l'on comprend à leur lecture que les intéressés n'ont pas côtoyé les parties régulièrement. C'est ainsi à juste titre que le Tribunal a considéré que l'intérêt de l'enfant commandait que sa garde de fait soit confiée à l'intimée. Le jugement querellé sera par conséquent confirmé sur ce point.</w:t>
      </w:r>
    </w:p>
    <w:p>
      <w:r>
        <w:t>- 18/23 -</w:t>
      </w:r>
    </w:p>
    <w:p>
      <w:r>
        <w:t>C/18297/2020</w:t>
      </w:r>
    </w:p>
    <w:p>
      <w:r>
        <w:rPr>
          <w:b/>
        </w:rPr>
        <w:t>E. 5.1</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w:t>
      </w:r>
    </w:p>
    <w:p>
      <w:r>
        <w:rPr>
          <w:b/>
        </w:rPr>
        <w:t>E. 5.2</w:t>
      </w:r>
    </w:p>
    <w:p>
      <w:r>
        <w:t>En l'espèce, il ressort de la procédure que les relations entre l'enfant et son père, qui s'est beaucoup occupé d'elle par le passé, sont bonnes, de sorte qu'il se justifie de fixer un large droit de visite, ce qu'a fait le Tribunal. L'appelant n'a pas critiqué en appel les modalités fixées par le Tribunal, lesquelles apparaissent conformes à l'intérêt de l'enfant, de sorte que le droit aux relations personnelles fixé dans le chiffre 3 du dispositif du jugement entrepris sera confirmé.</w:t>
      </w:r>
    </w:p>
    <w:p>
      <w:r>
        <w:rPr>
          <w:b/>
        </w:rPr>
        <w:t>E. 6</w:t>
      </w:r>
    </w:p>
    <w:p>
      <w:r>
        <w:t>L'appelant indique qu'il s'engage à poursuivre la mise en place du suivi psychologique nécessaire pour C______, comme à permettre au psychologue chargé du suivi de C______ de transmettre toutes informations utiles au sujet de l'évolution de celle-ci au SEASP, de sorte que la curatelle instaurée par le Tribunal, qu'il qualifie d'extrêmement incisive, ne sera pas nécessaire s'il tient ses engagements, ce qu'il, selon ses propres termes, ne manquera pas de faire. Il fait encore valoir qu'à défaut, une modification du jugement pourra toujours être requise sur ce point.</w:t>
      </w:r>
    </w:p>
    <w:p>
      <w:r>
        <w:rPr>
          <w:b/>
        </w:rPr>
        <w:t>E. 6.1</w:t>
      </w:r>
    </w:p>
    <w:p>
      <w:r>
        <w:t>A teneur de l'art. 307 al. 1 CC, l'autorité de protection de l'enfant prend les mesures nécessaires pour protéger l'enfant si son développement est menacé et que les père et mère n'y remédient pas eux-mêmes ou sont hors d'état de le faire. L'art. 308 al. 1 CC prévoit que lorsque les circonstances l'exigent, l'autorité de protection de l'enfant nomme un curateur qui assiste les père et mère de ses conseils et de son appui dans la prise en charge de l'enfant.</w:t>
      </w:r>
    </w:p>
    <w:p>
      <w:r>
        <w:rPr>
          <w:b/>
        </w:rPr>
        <w:t>E. 6.2</w:t>
      </w:r>
    </w:p>
    <w:p>
      <w:r>
        <w:t>On comprend des écritures de l'appelant qu'il remet en cause la curatelle ad hoc instaurée par le Tribunal. Or, lors de l'audience du Tribunal du 25 février 2021, l'appelant s'était déclaré d'accord avec la curatelle précitée. En tout état, même si l'appelant dit désormais ne plus s'opposer au suivi psychologique de C______, la curatelle préconisée reste nécessaire pour s'assurer de ce que ce suivi pourra effectivement être mis en œuvre. En effet, vu la position</w:t>
      </w:r>
    </w:p>
    <w:p>
      <w:r>
        <w:t>- 19/23 -</w:t>
      </w:r>
    </w:p>
    <w:p>
      <w:r>
        <w:t>C/18297/2020 adoptée par l'appelant pendant la procédure sur cette question, il ne peut être exclu que celui-ci n'entreprenne pas rapidement les démarches en vue de la mise en place de ce suivi, lequel est nécessaire au vu des difficultés auxquelles C______ est confrontée. La curatelle ad hoc aux fins d'organiser la mise en place d'un bilan psychologique et, si nécessaire, celle d'un suivi, instaurée par le Tribunal sera dès lors confirmée.</w:t>
      </w:r>
    </w:p>
    <w:p>
      <w:r>
        <w:rPr>
          <w:b/>
        </w:rPr>
        <w:t>E. 7</w:t>
      </w:r>
    </w:p>
    <w:p>
      <w:r>
        <w:t>L'appelant sollicite la jouissance exclusive du domicile conjugal et l'octroi d'un délai d'un mois à l'intimée pour quitter ledit domicile, l'usage de la force publique étant autorisé cas échéant. Il allègue qu'on ne peut raisonnablement lui imposer un déménagement au regard des circonstances et du fait qu'il ne dispose d'aucun revenu et est endetté.</w:t>
      </w:r>
    </w:p>
    <w:p>
      <w:r>
        <w:rPr>
          <w:b/>
        </w:rPr>
        <w:t>E. 7.1</w:t>
      </w:r>
    </w:p>
    <w:p>
      <w:r>
        <w:t>Le juge des mesures protectrices prend les mesures nécessaires en ce qui concerne le logement et le mobilier du ménage (art. 176 al. 1 ch. 2 CC). Si les époux ne parviennent pas à s'entendre au sujet de la jouissance de l'habitation conjugale, le juge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5A_434/2014 du 1er décembre 2014 consid. 3.1).</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(arrêt du Tribunal fédéral 5A_829/2016 du 15 février 2017 consid. 3.1 et les références citées). La décision du juge d'attribuer le logement conjugal à l'un des époux en vertu de l'art. 176 al. 1 ch. 2 CC doit être assortie d'un bref délai d'une à quatre semaines en principe pour permettre à l'époux concerné de déménager (CHAIX, in Commentaire romand, Code civil I, PICHONNAZ/FOEX [éd.], 2010, n. 13 ad 176 CC; arrêt du Tribunal fédéral 5A_470/2016 du 13 décembre 2016 consid. 7 et les références citées).</w:t>
      </w:r>
    </w:p>
    <w:p>
      <w:r>
        <w:rPr>
          <w:b/>
        </w:rPr>
        <w:t>E. 7.2</w:t>
      </w:r>
    </w:p>
    <w:p>
      <w:r>
        <w:t>En l'espèce, l'intimée dispose d'un intérêt supérieur à demeurer dans le logement conjugal dès lors que la garde de l'enfant, qui est scolarisée à proximité</w:t>
      </w:r>
    </w:p>
    <w:p>
      <w:r>
        <w:t>- 20/23 -</w:t>
      </w:r>
    </w:p>
    <w:p>
      <w:r>
        <w:t>C/18297/2020 et souffrirait d'un changement brutal d'environnement, lui est confiée. Le jugement entrepris sera dès lors confirmé sur ce point. La situation entre les parties étant très tendue, il est important qu'il soit mis fin à la vie commune le plus rapidement possible, afin que la famille puisse retrouver un cadre de vie serein. L'urgence de la situation est attestée par le rapport du SPMi du 18 mai 2021. Aucun élément du dossier ne justifie de retarder encore la séparation des parties, ce d'autant plus que l'appelant n'a pas rendu vraisemblable avoir effectué de recherches de logement. En outre, dès lors que l'appelant a formé appel du jugement entrepris le 15 mars 2021 et a obtenu l'effet suspensif du chiffre 7 dudit jugement, il a, en tout état, disposé de facto de plusieurs mois supplémentaires pour effectuer des démarches. Le chiffre 7 du dispositif du jugement attaqué sera ainsi confirmé.</w:t>
      </w:r>
    </w:p>
    <w:p>
      <w:r>
        <w:rPr>
          <w:b/>
        </w:rPr>
        <w:t>E. 8</w:t>
      </w:r>
    </w:p>
    <w:p>
      <w:r>
        <w:t>L'appelant n'a formulé aucune conclusion relative aux aspects financiers du litige, dans l'hypothèse où le jugement querellé était confirmé s'agissant de la garde de l'enfant et de l'attribution du domicile conjugal. Il n'a articulé aucune critique concernant les considérants du Tribunal consacrés aux revenus et charges des parties et de leur fille, précisant qu'il faisait siens les chiffres retenus par le Tribunal qui a condamné l'intimée à lui verser une somme de 300 fr. par mois, soit le montant de son disponible après paiement des charges de l'intimée et de celles de l'enfant. En particulier, l'appelant ne conteste pas le montant en 1'479 fr. fixé par le Tribunal comme étant nécessaire pour assurer l'entretien de C______. Il ne remet pas non plus en cause le fait que, après déduction de l'entretien de l'enfant et des charges de l'intimée, le solde disponible de l'intimée soit de 300 fr. Le minimum vital de l'intimée devant être préservé, il n'y a dès lors pas lieu d'allouer à l'appelant une contribution d'entretien supérieure à celle fixée par le premier juge. Les deux parties s'accordent à dire que la contribution sera due dès que les parties se seront constituées un domicile séparé. L'appelant ne peut être suivi lorsqu'il allègue que l'intimée ne lui donnerait pas d'argent pour ses besoins personnels, dès lors qu'il est prouvé par pièces que l'intimée a, depuis qu'elle travaille, entretenu l'appelant et C______. Le jugement querellé sera dès lors confirmé sur ce point. Dans cette mesure, les chiffres 8 et 10 du jugement entrepris seront confirmés.</w:t>
      </w:r>
    </w:p>
    <w:p>
      <w:r>
        <w:t>- 21/23 -</w:t>
      </w:r>
    </w:p>
    <w:p>
      <w:r>
        <w:t>C/18297/2020</w:t>
      </w:r>
    </w:p>
    <w:p>
      <w:r>
        <w:rPr>
          <w:b/>
        </w:rPr>
        <w:t>E. 9</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d'appel, comprenant les émoluments forfaitaires de la présente décision et de la décision sur effet suspensif, seront fixés à 1'000 fr. (art. 31 et 37 RTFMC). Ils seront mis à la charge de l'appelant, qui succombe. Dès lors que l'appelant plaide au bénéfice de l'assistance judiciaire, ces frais seront provisoirement laissés à la charge de l'Etat de Genève, qui pourra en demander le remboursement ultérieurement (art. 122 et 123 al. 1 CPC; art. 19 RAJ). Compte tenu de la nature familiale du litige, chaque partie supportera ses propres dépens d'appel (art. 107 al. 1 let. c CPC).</w:t>
      </w:r>
    </w:p>
    <w:p>
      <w:r>
        <w:t>* * * * *</w:t>
      </w:r>
    </w:p>
    <w:p>
      <w:r>
        <w:t>- 22/23 -</w:t>
      </w:r>
    </w:p>
    <w:p>
      <w:r>
        <w:t>C/18297/2020 PAR CES MOTIFS, La Chambre civile : A la forme : Déclare recevable l'appel interjeté le 15 mars 2021 par A______ contre le jugement JTPI/2823/2021 rendu le 2 mars 2021 par le Tribunal de première instance dans la cause C/18297/2020. Au fond : Confirme ce jugement. Déboute les parties de toutes autres conclusions. Sur les frais : Arrête les frais judiciaires d'appel à 1'000 fr. et les met à la charge de A______. Dit que les frais de 1'000 fr. mis à la charge de A______ sont provisoirement supportés par l'Etat de Genève. Dit que chaque partie supporte ses propres dépens d'appel. Siégeant : Monsieur Laurent RIEBEN, président; Monsieur Patrick CHENAUX, Madame Fabienne GEISINGER-MARIETHOZ, juges; Madame Roxane DUCOMMUN, greffière.</w:t>
      </w:r>
    </w:p>
    <w:p>
      <w:r>
        <w:t>Indication des voies de recours :</w:t>
      </w:r>
    </w:p>
    <w:p>
      <w:r>
        <w:t>- 23/23 -</w:t>
      </w:r>
    </w:p>
    <w:p>
      <w:r>
        <w:t>C/18297/2020</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