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ACJC/879/2012 vom 4. Oktober 2011</w:t>
      </w:r>
    </w:p>
    <w:p>
      <w:r>
        <w:t>GE Cour de justice, 2011-10-04, FR</w:t>
      </w:r>
    </w:p>
    <w:p>
      <w:r>
        <w:rPr>
          <w:b/>
        </w:rPr>
        <w:t xml:space="preserve">Quelle: </w:t>
      </w:r>
      <w:r>
        <w:t>https://mcp.opencaselaw.ch/entscheid/ge_gerichte_ACJC_879_2012</w:t>
      </w:r>
    </w:p>
    <w:p>
      <w:r>
        <w:t>FR: GE_GERICHTE ACJC/879/2012 du 4 octobre 2011</w:t>
      </w:r>
    </w:p>
    <w:p>
      <w:r>
        <w:t>IT: GE_GERICHTE ACJC/879/2012 del 4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w:t>
      </w:r>
    </w:p>
    <w:p>
      <w:r>
        <w:rPr>
          <w:b/>
        </w:rPr>
        <w:t>E. 2.1</w:t>
      </w:r>
    </w:p>
    <w:p>
      <w:r>
        <w:t>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w:t>
      </w:r>
    </w:p>
    <w:p>
      <w:r>
        <w:rPr>
          <w:b/>
        </w:rPr>
        <w:t>E. 2.2</w:t>
      </w:r>
    </w:p>
    <w:p>
      <w:r>
        <w:t>Dans le cas d'espèce, la demande portait sur le paiement d'une réduction de loyer de 30%, correspondant à 5'101 fr. 80 mensuellement pour les locaux situés à la rue X______ et à 8'014 fr. 20 par mois pour les locaux sis à la rue Y______. L'appelante avait conclu au déboutement de l'intimée de toutes ses conclusions. Le Tribunal des baux et loyers a fixé une réduction de loyer de respectivement 10% et 5% pendant une période d'environ 10 mois et demi, représentant 30'338 fr. (16'964 fr. + 13'374 fr.). La valeur litigieuse est ainsi supérieure à 10'000 fr. La voie de l'appel est dès lors ouverte.</w:t>
      </w:r>
    </w:p>
    <w:p>
      <w:r>
        <w:rPr>
          <w:b/>
        </w:rPr>
        <w:t>E. 3.1</w:t>
      </w:r>
    </w:p>
    <w:p>
      <w:r>
        <w:t>L'acte d'appel doit être écrit et motivé et répondre aux conditions des art. 130 et 131 CPC. L'appelant doit indiquer la décision qu'il attaque et exposer les motifs de fait et/ou de droit qui, à ses yeux, justifient l'appel (LACHAT, Procédure civile en matière de baux et loyers, Lausanne, 2011, ch. 5.2.3.1 p. 186).</w:t>
      </w:r>
    </w:p>
    <w:p>
      <w:r>
        <w:rPr>
          <w:b/>
        </w:rPr>
        <w:t>E. 3.2</w:t>
      </w:r>
    </w:p>
    <w:p>
      <w:r>
        <w:t>En l'occurrence, l'appel a été déposé dans le délai prescrit et dans la forme requise par la loi. Il est ainsi recevable. La partie adverse peut former un appel joint dans la réponse (art. 313 al. 1 CPC).</w:t>
      </w:r>
    </w:p>
    <w:p>
      <w:r>
        <w:rPr>
          <w:b/>
        </w:rPr>
        <w:t>E. 3.3</w:t>
      </w:r>
    </w:p>
    <w:p>
      <w:r>
        <w:t>La Cour dispose d'un plein pouvoir d'examen, tant en fait qu'en droit (art. 310 CPC; HOHL, Procédure civile, tome II, 2010, nos 2314 et 2416; RETORNAZ, L'appel et le recours, in Procédure civile suisse, 2010, p. 349 ss). Il en va de même de l'appel joint. Les maximes de procédure qui ont prévalu en première instance s'appliquent éga- lement en appel (VOLKART, DIKE-Komm-ZPO, 2011, no 7 ff. zu art. 316 ZPO;</w:t>
      </w:r>
    </w:p>
    <w:p>
      <w:r>
        <w:t>- 11/17 -</w:t>
      </w:r>
    </w:p>
    <w:p>
      <w:r>
        <w:t>C/1809/2010 REETZ/HILBER, Kommentar zur schweizerischen Zivilprozessordnung, 2010, no 16 zu art. 316 ZPO). La demande en paiement de l'appelant ayant été déposée avant le 1er janvier 2011, la procédure devant le Tribunal était régie par l'ancien droit de procédure (art. 404 al. 1 CPC; TAPPY, Le droit transitoire applicable lors de l'introduction de la nou- velle procédure unifiée, JdT 2010 III p. 11 ss), lequel prescrivait la maxime inqui- sitoire (art. 274d al. 3 aCO), qui s'appliquera également en appel.</w:t>
      </w:r>
    </w:p>
    <w:p>
      <w:r>
        <w:rPr>
          <w:b/>
        </w:rPr>
        <w:t>E. 4</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Selon l’art. 259 b lit. b CO, le locataire est tenu d’impartir préalablement au bail- leur un délai convenable pour effectuer les corrections nécessaires, ce qui suppose une mise en demeure selon les art. 107 et ss CO, sauf dans les cas prévus à l’art. 108 CO (ZIHLMANN, Das Neue Mietrecht, p. 64-67; LACHAT, Le bail à loyer, 2008, p. 252; SVIT-KOMMENTAR, no 13 et ss ad art. 259 b). La chose louée est défectueuse si elle ne se trouve pas dans l’état approprié à l’usage pour lequel elle a été louée ou, autrement dit, si son état réel ne correspond pas à l’état convenu (TERCIER, La partie spéciale du Code des obligations, nos 1080 et 1082; CORBOZ, Les défauts de la chose louée, in SJ 1979, p. 130- 131; GAUCH, Mängelhaftung des Vermieters und Mangelhafte Mietsache-einige Gedanken zum neuen Mietrecht in RJB 128/1992 p. 189 et ss, p. 197; arrêt 4 c. 527/1996 du 29 mai 1997, reproduit in SJ 1997 p. 661 ss). L’art. 259g CO prévoit que le locataire d’un immeuble qui exige la réparation d’un défaut doit fixer par écrit au bailleur un délai raisonnable à cet effet, et peut lui signifier qu’à défaut il consignera son loyer. Pour que la consignation soit ordonnée, il faut qu'il existe un défaut connu du bail- leur, qu’il lui ait été demandé d’y remédier dans un délai raisonnable, sans succès, et que le bailleur ait été menacé par écrit de la consignation. Malgré le texte de la loi en effet, la doctrine est unanime à considérer que la menace de consignation est une condition impérative (LACHAT, op. cit., p. 275; ZIHLMANN, op. cit., p. 79). Le locataire doit en outre avertir le bailleur par un second courrier de ce qu’il a effectivement consigné le loyer ou s’apprête à le faire. La consignation n’est admissible que si elle a été effectuée à temps, c’est-à-dire à la date à laquelle le loyer devait être payé (arrêt du Tribunal fédéral du 10 janvier 2002, publié in SJ 2002 I 269).</w:t>
      </w:r>
    </w:p>
    <w:p>
      <w:r>
        <w:t>- 12/17 -</w:t>
      </w:r>
    </w:p>
    <w:p>
      <w:r>
        <w:t>C/1809/2010</w:t>
      </w:r>
    </w:p>
    <w:p>
      <w:r>
        <w:rPr>
          <w:b/>
        </w:rPr>
        <w:t>E. 4.1</w:t>
      </w:r>
    </w:p>
    <w:p>
      <w:r>
        <w:t>Parmi les défauts qui surviennent pendant la durée du bail, la loi distingue, d’une part, les menus défauts à la charge du locataire (art. 259 CO) et, d’autre part, les défauts de moyenne importance et les défauts graves, qui ouvrent au loca- taire les droits prévus à l’art. 259a CO, en particulier la remise en état de la chose et la réduction de loyer. 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no 5 et 11 à l’art. 259d CO). En outre, le locataire n’a pas à respecter une priorité entre les différents moyens à sa disposition et ceux-ci ne s’excluent pas (SVIT-KOMMENTAR, no 5 ad art. 259a CO; HIGI, op. cit., no 13 ad art. 259a CO). Faute de définition légale, la notion de défaut doit être rapprochée de l’état appro- prié à l’usage pour lequel la chose a été louée, au sens de l’art. 256 al. 1 CO. Elle suppose la comparaison entre l’état réel de la chose et l’état convenu (arrêt pré- cité, consid. 3.1.; SJ 1997, p. 661, consid. 3a). 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op. cit., p. 219; HIGI, Commentaire zürichois, no 28 ad art. 258 CO). Il y a ainsi défaut lorsque la chose ne présente pas une qualité que le bailleur avait promise ou sur laquelle le locataire pouvait légitimement compter en se référant à l’état approprié à l’usage convenu (TERCIER, Les contrats spéciaux, 3ème édition, no 1869). Selon la doctrine et la jurisprudence, des mauvaises odeurs constituent des défauts de la chose louée (LACHAT, op. cit., p. 220; SJ 1976 p. 459). Un défaut est de moyenne importance lorsqu’il restreint l’usage pour lequel la chose a été louée, sans l’exclure ni l’entraver considérablement (LACHAT, op. cit., p. 226). Il appartient au locataire qui entend se prévaloir des art. 258 et ss CO d’apporter la preuve de l’existence du défaut et de la diminution de l’usage de l’objet loué.</w:t>
      </w:r>
    </w:p>
    <w:p>
      <w:r>
        <w:t>- 13/17 -</w:t>
      </w:r>
    </w:p>
    <w:p>
      <w:r>
        <w:t>C/1809/2010</w:t>
      </w:r>
    </w:p>
    <w:p>
      <w:r>
        <w:rPr>
          <w:b/>
        </w:rPr>
        <w:t>E. 4.2</w:t>
      </w:r>
    </w:p>
    <w:p>
      <w:r>
        <w:t>Aux termes de l’art. 259d CO, le locataire peut exiger la réduction propor- tionnelle du loyer à partir du moment où le bailleur a eu connaissance du défaut, ce droit prenant fin dès que le bailleur a procédé aux réparations nécessaires. Une réduction du loyer suppose que l’objet remis à bail soit affecté d’un défaut de moyenne importance au moins (LACHAT, Commentaire romand, no 1 ad art. 259d CO). L’ouverture du droit à une réduction de loyer ne suppose plus un usage notablement amoindri comme c’était le cas sous l’ancien droit. Un défaut de moyenne importance, justifiant une réduction du loyer, peut résulter de deux cas de figure : soit l’usage de la chose est restreint dans une mesure de l’ordre de 5% au moins, soit un défaut mineur se prolonge sur une longue période sans que le bailleur, informé, ne prenne les mesures nécessaires, de sorte qu’une atteinte à la jouissance de la chose louée doit être admise (ATF 4C.97/2003 du 28 octobre 2003). Conformément à l’art. 259d CO, la réduction du loyer est proportionnelle au dé- faut. En principe, il convient de procéder selon la méthode dite relative ou propor- tionnelle, telle qu’elle est pratiquée dans le contrat de vente : la valeur objective de la chose avec défaut est rapportée à sa valeur objective sans défaut, le loyer étant ensuite réduit dans la même proportion. Cependant, le calcul proportionnel n’est pas toujours aisé, notamment lorsque le défaut est de moyenne importance. Il est dès lors admis qu’une appréciation en équité, par référence à l’expérience générale de la vie, au bon sens et la casuistique, n’est pas contraire au droit fédéral (SJ 1997 p. 666). Dans une jurisprudence relative au bruit causé par un chantier voisin, que l'on peut ici transposer par analogie à la problématique des odeurs, le Tribunal fédéral a jugé que l'état défectueux s'étant prolongé sur une longue période de vingt-trois mois au cours de laquelle l'intensité des nuisances avait varié, il convenait d'éva- luer en équité, en fonction de l'intensité des immissions, la diminution de la jouis- sance de la chose louée, car les preuves de l'intensité des nuisances et de l'entrave à l'usage ne pouvaient être fournies au jour le jour (arrêt du Tribunal fédéral 4C.219/2005 du 24 octobre 2005, consid. 2.4). En matière de nuisances olfactives, la jurisprudence a retenu des taux de réduction de 5% pour des odeurs d’égouts et d’œufs pourris dans un établissement public (ACJC/451/2009 du 20 avril 2009, consid. 2.1), de 8% pour des odeurs de mazout se manifestant de manière relativement irrégulière (ACJC/1099/2004 du 04.10.2004 R. c/ SI U. en liquidation), de 10% pour des odeurs de cuisine ainsi que des odeurs difficiles à définir qui obligeaient le locataire à se lever pour aérer (ACJC/624/2006 du 16 juin 2006, consid. 3.4), de 10% pour des odeurs incommodantes présentes quelques jours par an dans certaines pièces d'une villa (ACJC/686/2001 du 22.6.2001), de 10% pour des odeurs d'égouts incommodant les clients d'une petite salle de restaurant, mais la constance des nuisances n'avait</w:t>
      </w:r>
    </w:p>
    <w:p>
      <w:r>
        <w:t>- 14/17 -</w:t>
      </w:r>
    </w:p>
    <w:p>
      <w:r>
        <w:t>C/1809/2010 pas pu être établie précisément (ACJC/293/2000 du 13.03.2000 époux L. c/ J.) et de 12% pour des émanations désagréables telle qu’une odeur d’œufs pourris (SJ 1979 p. 145-146).</w:t>
      </w:r>
    </w:p>
    <w:p>
      <w:r>
        <w:rPr>
          <w:b/>
        </w:rPr>
        <w:t>E. 4.3</w:t>
      </w:r>
    </w:p>
    <w:p>
      <w:r>
        <w:t>En l'espèce, l'appelante ne remet pas en cause, à juste titre, l'existence de nuisances olfactives, lesquelles constituent un défaut restreignant l'usage pour lequel la chose a été louée. Les deux parties remettent toutefois en cause les périodes durant lesquelles les nuisances ont existé retenues par le Tribunal, ainsi que la quotité de la réduction de loyer fixée par les premiers juges. Il ressort du courrier adressé par l'appelante à l'intimée le 30 novembre 2009 que des employées de cette dernière s'étaient plaintes auprès d'elle de la présence d'odeurs incommodantes depuis le 25 juin 2009 à tout le moins. En effet, l'appelante indique elle-même que son employé, R______, avait fait intervenir une entreprise de ventilation et de climatisation entre le 25 juin et le 19 novembre 2009, suite aux demandes de Mesdames O______ et B______. L'appelante a ainsi été informée de l'existence du défaut dès le 25 juin 2009, date à compter de laquelle la réduction de loyer est due. Dans sa correspondance du 22 décembre 2009, indiquant que le loyer serait consigné, l'intimée s'est implicitement à nouveau plainte de ce défaut, puisqu'elle en a sollicité l'élimination. Par ailleurs, dans son courriel du 23 février 2010, l'intimée a fait part à l'appelante d'odeurs particulièrement pénétrantes, et non de l'apparition de nouvelles odeurs. La position de l'appelante selon laquelle les odeurs n'auraient été présentes que du 19 au 30 novembre 2009 tombe dès lors à faux. Il en va de même de l'argument de l'intimée selon lequel la réduction de loyer serait due à partir du mois de mai 2009, puisqu'elle n'a pas pu démontrer avoir signalé à cette date, mais seulement à une date ultérieure, l'existence du défaut à l'appelante. Pour le surplus, les parties ne remettent pas en cause que le défaut était présent dans les locaux jusqu'au 30 avril 2010, puis du 15 octobre 2010 au 11 mars 2011. Le jugement du Tribunal des baux et loyers sera dès lors modifié, la réduction de loyer étant due du 25 juin 2009 au 30 avril 2010, puis du 15 octobre 2010 au 11 mars 2011. S'agissant du pourcentage de la réduction, les premiers juges ont pris en consi- dération le fait que les odeurs nauséabondes avaient été ressenties principalement sur les paliers de l'étage et à la réception, côté rue X______, et, dans une moindre mesure, côté rue Y______. Les nuisances olfactives n'avaient pas été présentes dans les locaux, à l'exception du local de la photocopieuse et le vestiaire des employés, côté rue X______ uniquement. Ils ont également retenu que la présence de ces nuisances était sporadique. Pour le surplus, le Tribunal des baux et loyers a pris en compte le loyer onéreux des locaux loués et l'image prestigieuse de l'intimée, peu compatible avec la présence d'odeurs nauséabondes.</w:t>
      </w:r>
    </w:p>
    <w:p>
      <w:r>
        <w:t>- 15/17 -</w:t>
      </w:r>
    </w:p>
    <w:p>
      <w:r>
        <w:t>C/1809/2010 Ainsi, l'argumentation de l'appelante, selon laquelle les nuisances disparaissaient au cours de la journée et parfois durant plusieurs jours a été dûment mise en balance par les premiers juges. Tel est également le cas s'agissant de l'argumen- taire de l'intimée relatif au prestige des locaux commerciaux pris à bail et du mon- tant du loyer réglé à ce titre. Au regard de la jurisprudence rappelée ci-avant, c'est dès lors à juste titre que les premiers juges ont fixé, à juste titre, la réduction de loyer de 10% pour les locaux sis rue X______ et de 5% pour ceux situés à la Y______. Sur ce point, tant l'appelante que l'intimée seront déboutées de leurs conclusions.</w:t>
      </w:r>
    </w:p>
    <w:p>
      <w:r>
        <w:rPr>
          <w:b/>
        </w:rPr>
        <w:t>E. 4.4</w:t>
      </w:r>
    </w:p>
    <w:p>
      <w:r>
        <w:t>La réduction de loyer sera dès lors accordée selon les modalités fixées ci- avant et l'appelante sera condamnée à verser à l'intimée les sommes de 24'395 fr. 55 (locaux sis rue X______; loyer de 16'156 fr. par mois x 10% x 15 mois et 3 jours) et de 19'232 fr. 85 (locaux sis rue Y______; loyer de 25'474 fr. par mois x 5% x 15 mois et 3 jours), soit au total 43'628 fr. 40.</w:t>
      </w:r>
    </w:p>
    <w:p>
      <w:r>
        <w:rPr>
          <w:b/>
        </w:rPr>
        <w:t>E. 5</w:t>
      </w:r>
    </w:p>
    <w:p>
      <w:r>
        <w:t>S'agissant de la consignation, des défauts connus de l'appelante existaient, un délai raisonnable lui a été imparti afin de remédier aux défauts, sans succès, et l'intimée l’a menacée par écrit de consignation, de sorte que les conditions de cette dernière sont réalisées. Toutefois, faute d'existence d'un défaut devant encore être éliminé, les conditions de la consignation ne sont plus réalisées. Les loyers seront dès lors restitués à l'ap- pelante, sous déduction des réductions de loyer accordées. Le jugement entrepris doit ainsi être modifié sur ce point.</w:t>
      </w:r>
    </w:p>
    <w:p>
      <w:r>
        <w:rPr>
          <w:b/>
        </w:rPr>
        <w:t>E. 6</w:t>
      </w:r>
    </w:p>
    <w:p>
      <w:r>
        <w:t>La procédure est gratuite, de sorte qu'il n'est pas perçu de frais ni alloué de dépens (art. 17 al. 1 LaCC). L'appelante et l'intimée seront dès lors déboutées de leurs conclusions de condamnation aux frais et dépens. * * * * *</w:t>
      </w:r>
    </w:p>
    <w:p>
      <w:r>
        <w:t>- 16/17 -</w:t>
      </w:r>
    </w:p>
    <w:p>
      <w:r>
        <w:t>C/1809/2010 PAR CES MOTIFS, La Chambre des baux et loyers : A la forme : Déclare recevables l'appel interjeté le 10 novembre 2011 par A______ AG ainsi que l'appel joint déposé le 14 décembre 2011 par I______ SA contre le jugement JTBP/1166/2011 rendu le 4 octobre 2011 par le Tribunal des baux et loyers dans la cause C/1809/2010-3-D. Au fond : Réduit de 10% le loyer, sans les charges, des locaux commerciaux loués par I______ SA situés au 7ème étage de l'immeuble sis rue X______ à Genève du 25 juin 2009 au 30 avril 2010 et du 15 octobre 2010 au 11 mars 2011. Réduit de 5% le loyer, sans les charges, des locaux commerciaux loués par I______ SA situés au 7ème étage de l'immeuble sis rue Y______ à Genève du 25 juin 2009 au 30 avril 2010 et du 15 octobre 2010 au 11 mars 2011. Condamne en conséquence A______ AG à verser à I______ SA la somme de 43'628 fr. 40 à ce titre. Ordonne, en tant que de besoin, la libération des loyers consignés sous compte no ______ et ______ en faveur de A______ AG, sous déduction de 43'828 fr. 40 susvisé revenant à I______ SA. Dit que la procédure est gratuite. Déboute les parties de toutes autres conclusions. Siégeant : Madame Nathalie LANDRY-BARTHE, présidente; Madame Elena SAMPEDRO et Madame Daniela CHIABUDINI juges; Monsieur Pierre STASTNY et Monsieur Bertrand REICH, juges assesseurs; Madame Maïté VALENTE, greffière.</w:t>
      </w:r>
    </w:p>
    <w:p>
      <w:r>
        <w:t>La présidente : Nathalie LANDRY-BARTHE</w:t>
      </w:r>
    </w:p>
    <w:p>
      <w:r>
        <w:t>La greffière : Maïté VALENTE</w:t>
      </w:r>
    </w:p>
    <w:p>
      <w:r>
        <w:t>- 17/17 -</w:t>
      </w:r>
    </w:p>
    <w:p>
      <w:r>
        <w:t>C/1809/2010</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