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ACJC/877/2020 vom 20. November 2017</w:t>
      </w:r>
    </w:p>
    <w:p>
      <w:r>
        <w:t>GE Cour de justice, 2017-11-20, FR</w:t>
      </w:r>
    </w:p>
    <w:p>
      <w:r>
        <w:rPr>
          <w:b/>
        </w:rPr>
        <w:t xml:space="preserve">Quelle: </w:t>
      </w:r>
      <w:r>
        <w:t>https://mcp.opencaselaw.ch/entscheid/ge_gerichte_ACJC_877_2020</w:t>
      </w:r>
    </w:p>
    <w:p>
      <w:r>
        <w:t>FR: GE_GERICHTE ACJC/877/2020 du 20 novembre 2017</w:t>
      </w:r>
    </w:p>
    <w:p>
      <w:r>
        <w:t>IT: GE_GERICHTE ACJC/877/2020 del 20 novembre 2017</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 En l'espèce, le litige porte sur le versement d'une provisio ad litem de plus de 10'000 fr. de sorte que la voie de l'appel est ouverte.</w:t>
      </w:r>
    </w:p>
    <w:p>
      <w:r>
        <w:rPr>
          <w:b/>
        </w:rPr>
        <w:t>E. 1.2</w:t>
      </w:r>
    </w:p>
    <w:p>
      <w:r>
        <w:t>Interjeté dans le délai utile de dix jours (art. 271 let. a et 314 al. 1 CPC) et suivant la forme prescrite par la loi (art. 130, 131, 311 al. 1 CPC), l'appel est recevable.</w:t>
      </w:r>
    </w:p>
    <w:p>
      <w:r>
        <w:rPr>
          <w:b/>
        </w:rPr>
        <w:t>E. 1.3</w:t>
      </w:r>
    </w:p>
    <w:p>
      <w:r>
        <w:t>La Cour revoit la cause avec un plein pouvoir d'examen (art. 310 CPC). Les mesures provisionnelles prises dans le cadre d'une action en divorce étant soumises à la procédure sommaire au sens propre (art. 248 let. d, 271 let. a et 276 al. 1 CPC),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w:t>
      </w:r>
    </w:p>
    <w:p>
      <w:r>
        <w:rPr>
          <w:b/>
        </w:rPr>
        <w:t>E. 1.4</w:t>
      </w:r>
    </w:p>
    <w:p>
      <w:r>
        <w:t>La procédure est soumise aux maximes inquisitoire simple (art. 272 et 277 al. 3 CPC) et de disposition (art. 58 al. 1 CPC).</w:t>
      </w:r>
    </w:p>
    <w:p>
      <w:r>
        <w:rPr>
          <w:b/>
        </w:rPr>
        <w:t>E. 2</w:t>
      </w:r>
    </w:p>
    <w:p>
      <w:r>
        <w:t>Les parties ont produit des pièces nouvelles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 Tribunal a gardé la cause à juger à l'issue de l'audience du 22 novembre 2019. Toutes les pièces produites par les parties en appel se rapportent à des faits survenus le 22 novembre 2019 ou postérieurement de sorte qu'elles sont recevables.</w:t>
      </w:r>
    </w:p>
    <w:p>
      <w:r>
        <w:rPr>
          <w:b/>
        </w:rPr>
        <w:t>E. 3</w:t>
      </w:r>
    </w:p>
    <w:p>
      <w:r>
        <w:t>L'appelant reproche au Tribunal de l'avoir condamné à verser une provisio ad litem à l'intimée alors que celle-ci serait en mesure de couvrir ses propres frais de procédure et que lui-même ne possède pas d'économies.</w:t>
      </w:r>
    </w:p>
    <w:p>
      <w:r>
        <w:t>- 7/11 -</w:t>
      </w:r>
    </w:p>
    <w:p>
      <w:r>
        <w:t>C/8614/2018</w:t>
      </w:r>
    </w:p>
    <w:p>
      <w:r>
        <w:rPr>
          <w:b/>
        </w:rPr>
        <w:t>E. 3.1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 4A_808/2016 du 21 mars 2017 consid. 4.1).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4A_808/2016 du 21 mars 2017 consid. 4.1 ; 5A_372/2015 du 29 septembre 2015 consid. 4.1; 5A_448/2009 du 25 mai 2010 consid. 8.2). Toutefois, le Tribunal fédéral a considéré qu'il n'est pas arbitraire d'admettre que l'époux requérant qui perçoit depuis plusieurs années une pension excédant amplement son minimum vital élargi (dans le cas jugé de 6' ' procès (arrêt du Tribunal fédéral 5A_850/2017 du 15 décembre 2017 consid. 3.2).</w:t>
      </w:r>
    </w:p>
    <w:p>
      <w:r>
        <w:t>3.2.1 En l'espèce, l'appelant fait tout d'abord valoir que les contributions d'entretien qu'il verse pour l'intimée et les enfants additionnées aux allocations familiales et au salaire de l'intimée totalisent 27'026 fr. par mois alors que leur minimum vital élargi peut être estimé à 16'322 fr., de sorte que l'intimée dispose d'un solde de plus de 10'000 fr. par mois lui permettant de couvrir ses frais de procédure. C'est de manière erronée que l'appelant plaide qu'il doit être tenu compte des contributions d'entretien versées aux enfants dans les ressources financières de l'intimée dès lors que celles-ci doivent être exclusivement utilisées pour les besoins des enfants. L'intimée n'est pas en droit de s'approprier une partie de ces contributions, ou des allocations familiales, pour ses propres besoins, dont les frais de procédure.</w:t>
      </w:r>
    </w:p>
    <w:p>
      <w:r>
        <w:t>Par ailleurs, les ressources de l'intimée s'élèvent à 19'126 fr. (7'126 fr. de salaire et 12'000 fr. de contribution d'entretien) tandis que son minimum vital élargi, tel qu'arrêté par la Cour sur mesures protectrices de l'union conjugale afin qu'elle maintienne son train de vie antérieur, s'élève à 19'158 fr. C'est à tort que l'appelant entend recalculer les charges de l'intimée à la baisse pour ne retenir que ses frais de logement, les primes d'assurance-maladie, les frais médicaux et dentaires, les frais de déplacement et la charge fiscale et arrêter ainsi ses frais à 11'429 fr. sans</w:t>
      </w:r>
    </w:p>
    <w:p>
      <w:r>
        <w:t>- 8/11 -</w:t>
      </w:r>
    </w:p>
    <w:p>
      <w:r>
        <w:t>C/8614/2018 même tenir compte des frais d'alimentation et d'habillement ainsi que tous les autres frais permettant à l'intimée de maintenir son train de vie. A cela s'ajoute que l'appelant ne rend pas vraisemblable que les charges de l'intimée ont diminué depuis le prononcé des mesures protectrices de l'union conjugale de sorte que sa situation financière actuelle s'en trouverait modifiée. En effet, si la charge d'impôts de l'intimée a été inférieure en 2017 à celle estimée par le juge des mesures protectrices (7'000 fr. par mois), les acomptes d'impôts de l'intimée étaient de 6'837 fr. par mois en moyenne en 2018. En outre, si la charge d'impôt de l'intimée devrait théoriquement être modifiée du fait de l'accession à la majorité de deux des enfants dont elle avait la garde jusqu'à lors, il n'est pas rendu vraisemblable que cette diminution soit significative puisque, simultanément, l'intimée ne bénéficiera plus d'une réduction d'impôt pour charge d'enfant. Il en va de même de la déduction que l'intimée pourrait opérer, selon l'appelant, en raison du paiement d'honoraires d'avocat, de sorte que la production des factures d'avocat honorées par l'intimée à ce jour ne sera pas ordonnée. Par conséquent, comme l'intimée n'a pas perçu une contribution d'entretien excédant ses charges - puisque cette pension ne comprend pas une part du solde disponible de l'appelant - c'est avec raison que le Tribunal a considéré, de ce point de vue, que l'intimée n'avait pas les moyens financiers de couvrir ses frais de procès.</w:t>
      </w:r>
    </w:p>
    <w:p>
      <w:r>
        <w:t>Par ailleurs, l'intimée a prouvé que son compte bancaire présentait des soldes de 2'143 fr. au 31 décembre 2018 et de 9'652 fr. 20 au 13 mai 2019, alors que le mois n'était pas écoulé et qu'elle avait encore des charges à acquitter. L'appelant fait valoir que l'intimée aurait dû réaliser 22'000 fr. d'économies puisque ses acomptes d'impôts 2017 était de 1'800 fr. par mois inférieurs à ce qui était prévu. L'intimée avait toutefois d'autres frais à honorer, comme l'amortissement de la résidence secondaire, qui a été exclue de ses charges incompressibles par le juge des mesures protectrices de l'union conjugale. Dès lors que la procédure de divorce n'était pas encore pendante, il ne peut être reproché à l'intimée de ne pas avoir effectué des économies en vue de cette procédure à venir. Par ailleurs, les montants importants qui ont été débités du compte bancaire de l'intimée l'ont été à destination de l'État de Genève pour les impôts. A nouveau, il ne peut être reproché à l'intimée de s'être acquittée de charges courantes. L'intimée a donc prouvé qu'après paiement de ses charges elle ne disposait plus d'économies. Enfin, il n'est pas rendu vraisemblable que l'intimée puisse obtenir à court terme une augmentation de l'hypothèque sur la maison secondaire. Au vu de ce qui précède, il a été rendu hautement vraisemblable que l'intimée ne possède pas d'économies lui permettant de couvrir ses frais d'avocat pour la fin de la procédure de première instance. 3.2.2 L'appelant reproche également au Tribunal d'avoir considéré qu'il disposait des moyens financiers pour s'acquitter d'une provisio ad litem. Il n'expose toutefois pas en quoi le Tribunal aurait procédé à un mauvais établissement des faits se référant au jugement sur mesures protectrices de l'union conjugale lequel</w:t>
      </w:r>
    </w:p>
    <w:p>
      <w:r>
        <w:t>- 9/11 -</w:t>
      </w:r>
    </w:p>
    <w:p>
      <w:r>
        <w:t>C/8614/2018 avait retenu que l'appelant disposait d'un solde mensuel de 6'000 fr. A noter que la cadette des enfants n'étant plus scolarisée en école privée c'est un montant de 1'800 fr. par mois dont l'appelant ne s'acquitte plus, ce qui viendra contrebalancer le fait qu'il ne pourra plus déduire les contributions d'entretien versées à ses filles majeures dans sa déclaration fiscale. Par ailleurs, si le cabinet dentaire de l'appelant a été vraisemblablement fermé pendant deux mois en 2020 en raison de la pandémie liée au coronavirus, il n'en reste pas moins que la demande de provisio ad litem a été déposée plusieurs mois avant cet événement et que durant plusieurs mois l'appelant a bénéficié d'un solde mensuel conséquent. En outre, si les relevés bancaires produits par l'appelant tendent à démontrer que celui-ci n'a plus d'économies, il n'en reste pas moins qu'il est en mesure de se faire servir un dividende de plus de 190'000 fr. par année. Si l'appelant semble avoir renoncé à ce versement, il est toutefois fondé à puiser dans les bénéfices de la société dont il est l'unique propriétaire, son épouse détenant une action à titre fiduciaire. L'appelant n'a en outre pas établi quel était l'état du compte courant qu'il détient dans les comptes de sa société. Enfin, l'appelant a été en mesure de verser le montant de 20'000 fr. à titre de provisio ad litem auquel il a été condamné, étant relevé que les documents produits ne prouvent pas qu'il a emprunté cet argent, la mention de « prêt » lors du versement n'étant pas propre à prouver l'origine de cet argent. Par conséquent, c'est à juste titre que le premier juge a considéré que l'appelant avait les ressources nécessaires pour s'acquitter d'une provisio ad litem.</w:t>
      </w:r>
    </w:p>
    <w:p>
      <w:r>
        <w:t>3.2.3 Enfin, le montant de provisio ad litem doit être confirmé. L'appelant se limite à faire valoir qu'il est excessif dès lors qu'il y a déjà eu un double échange d'écritures et que les pièces ont été produites. C'est oublier que la demande de provisio ad litem a été requise au début de la procédure de divorce et que celle-ci doit servir à payer les frais d'avocat de l'intimée pour toute la procédure, qui n'est pas terminée à ce jour puisque des actes d'instruction sont en cours. Par conséquent, le montant de 20'000 fr. sera confirmé.</w:t>
      </w:r>
    </w:p>
    <w:p>
      <w:r>
        <w:rPr>
          <w:b/>
        </w:rPr>
        <w:t>E. 3.3</w:t>
      </w:r>
    </w:p>
    <w:p>
      <w:r>
        <w:t>Au vu de ce qui précède, le chiffre 1 de l'ordonnance querellée sera confirmé.</w:t>
      </w:r>
    </w:p>
    <w:p>
      <w:r>
        <w:rPr>
          <w:b/>
        </w:rPr>
        <w:t>E. 4</w:t>
      </w:r>
    </w:p>
    <w:p>
      <w:r>
        <w:t>L'appelant conclut à l'annulation du chiffre 4 du dispositif de l'ordonnance par lequel le premier juge a renoncé à allouer des dépens aux parties. Outre le fait que l'appelant ne critique pas valablement le jugement sur ce point, cette décision est conforme au droit compte tenu de caractère familial du litige (art. 107 al. 1 let. CPC) et du fait qu'aucune partie n'a obtenu totalement gain de cause.</w:t>
      </w:r>
    </w:p>
    <w:p>
      <w:r>
        <w:t>Par conséquent, le chiffre 4 de la décision querellée sera confirmé.</w:t>
      </w:r>
    </w:p>
    <w:p>
      <w:r>
        <w:rPr>
          <w:b/>
        </w:rPr>
        <w:t>E. 5</w:t>
      </w:r>
    </w:p>
    <w:p>
      <w:r>
        <w:t>Les frais judiciaires d'appel seront mis à la charge de l'appelant, qui succombe (art. 95 et 106 al. 1 CPC). Ceux-ci seront arrêtés à 1'500 fr. (art. 95, 104 al. 1,</w:t>
      </w:r>
    </w:p>
    <w:p>
      <w:r>
        <w:t>- 10/11 -</w:t>
      </w:r>
    </w:p>
    <w:p>
      <w:r>
        <w:t>C/8614/2018 105, 106 al. 1 CPC; art. 31 et 37 RTFMC), comprenant ceux relatifs à l'ordonnance sur effet suspensif, et partiellement compensés avec l'avance de frais fournie par l'appelant, qui reste acquise à l'État de Genève (art. 111 al. 1 CPC). L'appelant sera ainsi condamné à verser 800 fr. à l'État de Genève, soit les Services financiers du Pourvoir judiciaire, au titre de solde des frais judiciaires d'appel (art. 111 al. 1 CPC). Pour les mêmes motifs, l'appelant sera condamné à payer à l'intimée la somme de 2'000 fr. à titre de dépens d'appel, débours et TVA inclus (art. 95 al. 3, 96 et 105 al. 2 et 111 al. 2 CPC; art. 84, 85, 88 et 90 RTFMC; art. 25 et 26 LaCC). * * * * *</w:t>
      </w:r>
    </w:p>
    <w:p>
      <w:r>
        <w:t>- 11/11 -</w:t>
      </w:r>
    </w:p>
    <w:p>
      <w:r>
        <w:t>C/8614/2018</w:t>
      </w:r>
    </w:p>
    <w:p>
      <w:r>
        <w:t>PAR CES MOTIFS, La Chambre civile : A la forme : Déclare recevable l'appel interjeté le 10 février 2020 par A______ contre l'ordonnance OTPI/75/2020 rendue le 30 janvier 2020 par le Tribunal de première instance dans la cause C/8614/2018-2. Au fond : Confirme l'ordonnance entreprise. Déboute les parties de toutes autres conclusions. Sur les frais : Arrête les frais judiciaires d'appel à 1'500 fr., les met à la charge de A______ et les compense partiellement avec l'avance de frais fournie par celui-ci qui demeure acquise à l'État de Genève. Condamne A______ à verser à l'Etat de Genève, soit pour lui les Services financiers du Pouvoir judiciaire, 800 fr. à titre de solde des frais judiciaires d'appel. Condamne A______ à payer à B______ la somme de 2'000 fr.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