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ACJC/876/2023 vom 30. Juni 2023</w:t>
      </w:r>
    </w:p>
    <w:p>
      <w:r>
        <w:t>GE Cour de justice, 2023-06-30, FR</w:t>
      </w:r>
    </w:p>
    <w:p>
      <w:r>
        <w:rPr>
          <w:b/>
        </w:rPr>
        <w:t xml:space="preserve">Quelle: </w:t>
      </w:r>
      <w:r>
        <w:t>https://mcp.opencaselaw.ch/entscheid/ge_gerichte_ACJC_876_2023</w:t>
      </w:r>
    </w:p>
    <w:p>
      <w:r>
        <w:t>FR: GE_GERICHTE ACJC/876/2023 du 30 juin 2023</w:t>
      </w:r>
    </w:p>
    <w:p>
      <w:r>
        <w:t>IT: GE_GERICHTE ACJC/876/2023 del 30 giugno 2023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(art. 271 CPC, 314 al. 1 CPC et 142 ss CPC), selon la forme prescrite par la loi (art. 311 al. 1 CPC) et porte sur des conclusions qui, capitalisées selon l'art. 92 al. 2 CPC, sont supérieures à 10'000 fr. Il est donc recevable.</w:t>
      </w:r>
    </w:p>
    <w:p>
      <w:r>
        <w:rPr>
          <w:b/>
        </w:rPr>
        <w:t>E. 1.2</w:t>
      </w:r>
    </w:p>
    <w:p>
      <w:r>
        <w:t>L'appel peut être formé pour violation du droit et/ou constatation inexacte des faits, la Cour disposant d'un pouvoir d'examen complet (art. 310 CPC). La procédure sommaire étant applicable, sa cognition est toutefois limitée à la simple vraisemblance des faits et à un examen sommaire du droit (ATF 138 III 636 consid. 4.3.2; arrêt du Tribunal fédéral 5A_812/2015 du 6 septembre 2016 consid. 5.2).</w:t>
      </w:r>
    </w:p>
    <w:p>
      <w:r>
        <w:rPr>
          <w:b/>
        </w:rPr>
        <w:t>E. 1.3</w:t>
      </w:r>
    </w:p>
    <w:p>
      <w:r>
        <w:t>S'agissant du sort des enfants mineurs, les maximes d'office et inquisitoire illimitée s'appliquent (art. 55 al. 2, 58 al. 2, 296 CPC; ATF 128 III 411 consid. 3.2.1; arrêt du Tribunal fédéral 5A_512/2017 du 22 décembre 2017 consid. 6.1). Le juge n'est lié ni par les conclusions des parties ni par l'interdiction de la reformatio in pejus (ATF 138 III 374 consid. 4.3.1; arrêt du Tribunal fédéral 5A_757/2013 du 14 juillet 2014 consid. 2.1).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- 9/20 -</w:t>
      </w:r>
    </w:p>
    <w:p>
      <w:r>
        <w:t>C/5496/2022 En tant qu'elle porte sur la question de la contribution à l'entretien de l'épouse, la cause est soumise à la maxime de disposition (art. 58 al. 1 CPC) et à la maxime inquisitoire limitée (art. 55 al. 2, 277 et 272 CPC).</w:t>
      </w:r>
    </w:p>
    <w:p>
      <w:r>
        <w:rPr>
          <w:b/>
        </w:rPr>
        <w:t>E. 2</w:t>
      </w:r>
    </w:p>
    <w:p>
      <w:r>
        <w:t>A juste titre, les parties ne contestent pas la compétence des tribunaux genevois pour connaître du présent litige (cf. art. 46 et 79 al. 1 LDIP), ni l'application du droit suisse (art. 48 al. 1, 49 et 83 LDIP; art. 4 de la Convention de La Haye du 2 octobre 1973 sur la loi applicable aux obligations alimentaires).</w:t>
      </w:r>
    </w:p>
    <w:p>
      <w:r>
        <w:rPr>
          <w:b/>
        </w:rPr>
        <w:t>E. 3</w:t>
      </w:r>
    </w:p>
    <w:p>
      <w:r>
        <w:t>Les parties ont allégué des faits nouveaux et produit des pièces nouvelles devant la Cour. L'intimée a par ailleurs sollicité la production de certains documents.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même si les conditions prévues par l'art. 317 al. CPC ne sont pas réalisées (ATF 144 III 349 consid. 4.2.1).</w:t>
      </w:r>
    </w:p>
    <w:p>
      <w:r>
        <w:rPr>
          <w:b/>
        </w:rPr>
        <w:t>E. 3.2</w:t>
      </w:r>
    </w:p>
    <w:p>
      <w:r>
        <w:t>En l'espèce, les faits et pièces nouveaux dont se prévalent les parties portent sur leur situation financière et personnelle, soit sur des éléments pertinents pour fixer les contributions dues à l'entretien des enfants. Ces nova sont dès lors recevables. Au surplus, il n'y pas lieu d'ordonner la production de pièces complémentaires, les éléments figurant d'ores et déjà au dossier étant suffisants pour permettre à la Cour de statuer sur les points litigieux en appel.</w:t>
      </w:r>
    </w:p>
    <w:p>
      <w:r>
        <w:rPr>
          <w:b/>
        </w:rPr>
        <w:t>E. 4</w:t>
      </w:r>
    </w:p>
    <w:p>
      <w:r>
        <w:t>mars 2022 consid. 3.5.1).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 il y a lieu d'en tenir compte lors du partage de l'excédent (ATF 147 III 293 consid. 4.4, 265 consid. 7.3; 140 III 485 consid. 3.3; arrêt du Tribunal fédéral 5A_915/2021 du 9 mars 2023 consid. 4.1 et les références citées).</w:t>
      </w:r>
    </w:p>
    <w:p>
      <w:r>
        <w:rPr>
          <w:b/>
        </w:rPr>
        <w:t>E. 4.1</w:t>
      </w:r>
    </w:p>
    <w:p>
      <w:r>
        <w:t>En cas de suspension de la vie commune, le juge fixe les contributions d'entretien à verser respectivement à l'époux et aux enfants (art. 176 al. 1 ch. 1 et al. 3 CC). Aux termes de l'art. 163 CC,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w:t>
      </w:r>
    </w:p>
    <w:p>
      <w:r>
        <w:t>- 10/20 -</w:t>
      </w:r>
    </w:p>
    <w:p>
      <w:r>
        <w:t>C/5496/2022 dans sa profession ou son entreprise (al. 1). Ce faisant, ils tiennent compte des besoins de l'union conjugale et de leur situation personnelle (al. 2).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Le train de vie mené durant la vie commune constitue le point de départ pour déterminer l'entretien convenable de chacun des époux, auquel ceux- ci ont droit en présence de moyens financiers suffisants. Quand il n'est pas possible de conserver ce standard, les conjoints ont droit à un train de vie semblable (ATF 147 III 293 consid. 4.4; 140 III 337 consid. 4.2.1; arrêts du Tribunal fédéral 5A_935/2021 du 19 décembre 2022 consid. 3.1; 5A_409/2021 du</w:t>
      </w:r>
    </w:p>
    <w:p>
      <w:r>
        <w:rPr>
          <w:b/>
        </w:rPr>
        <w:t>E. 4.2</w:t>
      </w:r>
    </w:p>
    <w:p>
      <w:r>
        <w:t>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w:t>
      </w:r>
    </w:p>
    <w:p>
      <w:r>
        <w:t>- 11/20 -</w:t>
      </w:r>
    </w:p>
    <w:p>
      <w:r>
        <w:t>C/5496/2022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4.3.1 Le Tribunal fédéral a posé, pour toute la Suisse, une méthode de calcul uniforme des contributions d'entretien du droit de la famille (ATF 147 III 265, in SJ 2021 I 3016; 147 III 293;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notamment de toutes les circonstances entourant la prise en charge des enfants (ATF 147 III 265 précité consid. 7.1). 4.3.2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notamment une part au</w:t>
      </w:r>
    </w:p>
    <w:p>
      <w:r>
        <w:t>- 12/20 -</w:t>
      </w:r>
    </w:p>
    <w:p>
      <w:r>
        <w:t>C/5496/2022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(ATF 147 III 265 consid. 7.2).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Seules les charges effectives, dont le débirentier ou le crédirentier s'acquitte réellement, doivent être prises en compte (ATF 140 III 337 consid. 4.2.3, arrêt du Tribunal fédéral 5A_65/2013 du 4 septembre 2013 consid. 3.2.1). Selon la jurisprudence du Tribunal fédéral, il n'est toutefois pas arbitraire de tenir compte d'un loyer hypothétique pour une durée transitoire, le temps que la partie concernée trouve un logement. Hormis cette exception - qui ne peut concerner qu'une période transitoire (étant précisé qu'une période supérieure à une année ne saurait être qualifiée de transitoire, en particulier si la partie concernée n'a pas effectué de démarches pour se trouver un logement durant cette période) -,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Dans tous les cas, le minimum vital du droit des poursuites du débirentier doit être préservé (ATF 147 III 265 précité consid. 7.3; arrêt du Tribunal fédéral 5A_450/2020 du 4 janvier 2021 consid. 5.3). 4.3.3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Il peut toutefois être dérogé à cette règle pour de multiples raisons, par exemple pour des motifs éducatifs ou liés aux besoins concrets des membres de la famille, le juge devant motiver, dans sa</w:t>
      </w:r>
    </w:p>
    <w:p>
      <w:r>
        <w:t>- 13/20 -</w:t>
      </w:r>
    </w:p>
    <w:p>
      <w:r>
        <w:t>C/5496/2022 décision sur l'entretien, pourquoi il applique la règle ou pourquoi il y déroge (ATF 147 III 265 consid. 7.3). Autant que faire se peut, compte tenu de l'augmentation des charges induite par la constitution de ménages distincts, la part d'épargne réalisée pendant la vie commune doit être prise en compte dans la répartition de l'excédent et, cas échéant, être retranchée de celui-ci (ATF 147 III 265 consid. 7.3; arrêt du Tribunal fédéral 5A_915/2021 précité consid. 4.3).</w:t>
      </w:r>
    </w:p>
    <w:p>
      <w:r>
        <w:rPr>
          <w:b/>
        </w:rPr>
        <w:t>E. 4.4</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5A_454/2017 du 17 mai 2018 consid. 4.1), sous imputation des avances d'entretien éventuellement effectuées par le débiteur pendant cette période (ATF 138 III 583 consid. 6.1.2, 135 III 315 consid. 2.3). 4.5.1 L'appelant soutient que le Tribunal aurait mal apprécié la situation financière des différents membres du groupe familial. Il convient dès lors de réexaminer les revenus et charges des parties à la lumière des griefs soulevés. 4.5.2 Il n'est pas contesté que le revenu mensuel net de l'appelant s'est élevé à 5'857 fr. 65 jusqu'en octobre 2022, puis à 5'273 fr. 15 dès le 1er novembre 2022. Le Tribunal a retenu ses charges mensuelles - calculées selon le minimum vital du droit de la famille - à 2'615 fr. (montant arrondi), comprenant l'entretien de base LP (850 fr.), les frais de logement (865 fr.), les primes d'assurance-maladie de base et complémentaire (409 fr. 45), les frais de véhicule (342 fr. 95), la charge fiscale (10 fr. 50), les frais de téléphonie (39 fr.) et les cotisations au 3ème pilier (96 fr. 25). Il est admis que les primes d'assurance-maladie de l'appelant, subside déduit, s'élèvent à 448 fr. 30 depuis le 1er janvier 2023. Il convient par ailleurs de tenir compte du fait que l'appelant travaille dans le canton de Genève depuis le mois de novembre 2022, de sorte que l'usage d'une voiture ne lui est plus indispensable pour exercer sa profession. L'époux ne conteste pas qu'il lui est désormais possible de se rendre sur son lieu de travail en utilisant les transports publics et qu'il dispose d'un véhicule de fonction pour ses déplacements professionnels. En outre, il n'a produit aucun document qui attesterait de ses frais de véhicule effectifs depuis qu'il travaille à Genève. Eu égard à ce qui précède, seuls les frais de l'abonnement TPG (70 fr. par mois) seront inclus dans le budget de l'appelant à partir de novembre 2022, à l'instar de la solution retenue par le Tribunal en ce qui concerne l'intimée. Dans la mesure où l'appelant vit en concubinage depuis octobre 2021 - soit depuis plus d'une année et demie, ce qui ne correspond pas à une situation transitoire au sens de la jurisprudence citée supra (cf. consid. 4.3.2. in fine) - et qu'il ne rend pas</w:t>
      </w:r>
    </w:p>
    <w:p>
      <w:r>
        <w:t>- 14/20 -</w:t>
      </w:r>
    </w:p>
    <w:p>
      <w:r>
        <w:t>C/5496/2022 vraisemblable avoir entrepris des démarches sérieuses et concrètes pour trouver un logement plus spacieux afin d'accueillir ses enfants pendant la nuit (l'unique pièce produite date de mars 2022 et ne précise pas le type de logement recherché, étant relevé qu'il n'est pas exclu que l'appelant décide d'emménager dans un appartement plus grand avec sa compagne, plutôt que de se constituer un domicile autonome), la décision du Tribunal de ne pas inclure un loyer hypothétique dans ses charges n'est pas critiquable. A cela s'ajoute que l'appelant ne s'occupe pas régulièrement de ses enfants depuis la séparation, étant précisé que selon les explications - non contestées - de l'épouse, il ne les voit qu'occasionnellement le dimanche et n'a plus passé de vacances avec eux depuis l'automne 2021. Comme l'a retenu le Tribunal, il appartiendra à l'appelant, s'il devait effectivement déménager à l'avenir, de solliciter (s'il y a lieu) la modification des contributions fixées ci-après pour tenir compte d'une éventuelle augmentation de ses frais de logement, en produisant les documents pertinents (contrat de bail, justificatifs de paiement du loyer, etc.) - étant relevé qu'il sera le seul à détenir les pièces utiles à ce sujet. Au surplus, la charge fiscale de l'appelant peut être estimée, selon la calculette mise à disposition par l'administration fiscale cantonale (AFC), à 370 fr. par mois jusqu'en octobre 2022, puis à 250 fr. par mois dès novembre 2022, en tenant compte des revenus susmentionnés, des déductions usuelles et des déductions pour les contributions d'entretien fixées au terme du présent arrêt. Il résulte de ce qui précède que les charges de l'époux se sont élevées à environ 2'972 fr. (850 fr. + 865 fr. + 409 fr. + 343 fr. + 370 fr. + 39 fr. + 96 fr.) jusqu'en octobre 2022, puis à environ 2'618 fr. (850 fr. + 865 fr. + 448 fr. + 70 fr. + 250 fr. + 39 fr. + 96 fr.) dès novembre 2022. Par conséquent, il a bénéficié d'un solde disponible de l'ordre de 2'886 fr. jusqu'au 31 octobre 2022, puis de l'ordre de 2'655 fr. par la suite. 4.5.3 L'intimée réalise un revenu mensuel net de 3'717 fr., ce qui n'est pas contesté. Le Tribunal a retenu ses charges mensuelles à hauteur de 3'350 fr., comprenant l'entretien de base LP (1'350 fr.), les frais de logement (1'133 fr.), les primes d'assurance-maladie de base et complémentaire (502 fr. 05), les frais de transports publics (70 fr.), la charge fiscale (200 fr.), la prime d'assurance-ménage et RC (37 fr. 20) et les frais de téléphonie (57 fr. 35). Les primes d'assurance-maladie de l'intimée, subside déduit, s'élèvent à 574 fr. 30 depuis le 1er janvier 2023. Le montant retenu par le Tribunal au titre des impôts est remis en cause par les deux parties. Selon la calculette d'impôts mise à disposition par l'AFC, la charge fiscale de l'épouse peut être estimée approximativement à 40 fr. par mois, en tenant compte d'un revenu annuel net de</w:t>
      </w:r>
    </w:p>
    <w:p>
      <w:r>
        <w:t>- 15/20 -</w:t>
      </w:r>
    </w:p>
    <w:p>
      <w:r>
        <w:t>C/5496/2022 44'604 fr., des allocations familiales, des contributions d'entretien mises à la charge de l'appelant et des déductions usuelles. Vu sa modicité, la Cour renoncera à ventiler cette charge entre l'intimée et les enfants. Il résulte de ce qui précède que les charges de l'intimée se sont élevées à environ 3'189 fr. (1'350 fr. + 1'133 fr. + 502 fr. + 70 fr. + 40 fr. + 37 fr. + 57 fr.) jusqu'en décembre 2022, respectivement à environ 3'261 fr. (3'189 fr. - 502 fr. + 574 fr.) dès janvier 2023 en tenant compte de l'augmentation de ses primes d'assurance- maladie. Par conséquent, elle a bénéficié d'un solde disponible de l'ordre de 528 fr. par mois en 2022, respectivement de 456 fr. en 2023. 4.5.4 Les charges mensuelles de C______, âgé de 15 ans, comprennent l'entretien de base LP (600 fr.), la part de loyer (243 fr.), les primes d'assurance-maladie de base et complémentaire (95 fr. 75 en 2022, 85 fr. 40 en 2023) et les frais de transports publics (35 fr. 60). Les charges mensuelles de D______, âgée de 11 ans, comprennent l'entretien de base LP (600 fr.), la part de loyer (243 fr.), les primes d'assurance-maladie de base et complémentaire (78 fr. 97 en 2022, estimées à 85 fr. 40 en 2023, l'appelant n'ayant pas fourni la police d'assurance de sa fille pour l'année en cours) et les frais de transports publics (35 fr. 60). Contrairement à ce que plaide l'appelant, il se justifie d'inclure les frais de l'abonnement TPG dans les charges des enfants. Vu leur âge, il est en effet vraisemblable que ceux-ci utilisent les transports publics pour se rendre à leurs activités, notamment à leurs cours de portugais, ce d'autant que l'intimée ne peut plus les véhiculer depuis que les plaques de sa voiture ont été récupérées par l'appelant sans son accord. Après déduction des allocations familiales, les besoins de C______ et D______ s'élèvent à environ 665 fr. par mois et par enfant. 4.5.5 Au regard des revenus des parties et du fait que l'intimée assume la garde de C______ et D______, les besoins financiers des enfants doivent être pris en charge par l'appelant, ce qui n'est pas contesté. Après couverture des charges mensuelles des enfants, l'excédent familial s'est élevé à 2'084 fr. (2'886 fr. fr. + 528 fr. - 665 fr. - 665 fr.) jusqu'en octobre 2022, puis à 1'781 fr. (2'655 fr. + 456 fr. - 665 fr. - 665 fr.) dès novembre 2022. Ainsi que le plaide l'appelant, il est rendu suffisamment vraisemblable - sur la base des déclarations des parties et des pièces produites - que les époux ont consacré une partie de leurs revenus à des fins d'épargne pendant la vie commune, dans le but d'amortir la dette hypothécaire grevant la maison dont ils sont copropriétaires au Portugal. Dans la mesure où la quote-part mensuelle de cette</w:t>
      </w:r>
    </w:p>
    <w:p>
      <w:r>
        <w:t>- 16/20 -</w:t>
      </w:r>
    </w:p>
    <w:p>
      <w:r>
        <w:t>C/5496/2022 épargne, de l'ordre de 275 fr. (contrevaleur de 280 euros), n'est pas absorbée par le surcoût engendré par la vie séparée, ce montant sera retranché de l'excédent à répartir entre les membres de la famille. A compter d'avril 2022 - le dies a quo retenu par le Tribunal n'est pas critiqué en appel - jusqu'au mois d'octobre 2022, la participation à l'excédent de chaque enfant est d'environ 300 fr. (2'084 fr. - 275 fr. / 6) et celle de chaque époux d'environ 600 fr. Dès novembre 2022, cette participation sera d'environ 250 fr. par enfant (1'781 fr. - 275 fr. / 6) et d'environ 500 fr. par époux. Eu égard à ce qui précède et compte tenu du fait que l'intimée assume la garde des enfants de façon prépondérante, il se justifie de condamner l'appelant à contribuer mensuellement à l'entretien de chaque enfant à hauteur de 965 fr. du 1er avril au 31 octobre 2022, puis de 915 fr. dès le 1er novembre 2022. A noter que ces contributions permettront à l'intimée de couvrir la charge fiscale des enfants ainsi que leurs cours de portugais. Au vu du solde disponible dont bénéficie l'épouse - qui est à peu près équivalent à celui de l'époux après paiement des contributions en faveur des enfants et de l'amortissement de la dette hypothécaire (cf. supra) -, il n'y a en revanche pas lieu d'allouer à celle-ci une contribution à son propre entretien. L'intimée sera dès lors déboutée de ses conclusions sur ce point. 4.5.6 Il conviendra de déduire des contributions susmentionnées les montants déjà versés par l'appelant pour l'entretien des enfants, à savoir 1'300 fr. par mois depuis le 1er avril 2022, ainsi que la somme de 631 fr. 60 (primes d'assurance-maladie de D______ payées en 2022). En revanche, le montant de 180 fr. 15 que l'appelant allègue avoir payé pour sa fille en 2022, à titre de frais médicaux non remboursés, ne sera pas retenu. En effet, les pièces produites ne permettent pas de déterminer à quel titre ce montant a été versé à N______ SA. Par ailleurs, dans la mesure où il n'a pas fourni le décompte global des frais médicaux pris en charge par l'assurance de D______ en 2022, l'appelant échoue à rendre vraisemblable qu'il aurait assumé des frais médicaux non remboursés pour sa fille cette année-là. 4.5.7 En définitive, les chiffres 5 à 7 du dispositif du jugement attaqué seront annulés et il sera statué à nouveau dans le sens de ce qui précède.</w:t>
      </w:r>
    </w:p>
    <w:p>
      <w:r>
        <w:rPr>
          <w:b/>
        </w:rPr>
        <w:t>E. 5</w:t>
      </w:r>
    </w:p>
    <w:p>
      <w:r>
        <w:t>Les frais judiciaires d'appel, incluant l'émolument de décision sur effet suspensif, seront arrêtés à 1'000 fr. (art. 31 et 37 RTFMC) et mis à la charge des parties par moitié chacune, vu l'issue et la nature familiale du litige (art. 107 al. 1 let. c CPC). Ils seront partiellement compensés avec l'avance versée par l'appelant, acquise à l'Etat de Genève à hauteur de 500 fr. L'appelant se verra restituer le solde de son avance en 500 fr.</w:t>
      </w:r>
    </w:p>
    <w:p>
      <w:r>
        <w:t>- 17/20 -</w:t>
      </w:r>
    </w:p>
    <w:p>
      <w:r>
        <w:t>C/5496/2022 L'intimée plaidant au bénéfice de l'assistance judiciaire, la part de ces frais qui lui incombe sera provisoirement laissée à la charge de l'Etat de Genève, qui pourra en demander le remboursement ultérieurement (art. 123 al. 1 CPC).</w:t>
      </w:r>
    </w:p>
    <w:p>
      <w:r>
        <w:t>Pour les mêmes motifs, chaque partie conservera à sa charge ses propres dépens d'appel (art. 106 al. 2, 107 al. 1 let. c CPC). * * * * *</w:t>
      </w:r>
    </w:p>
    <w:p>
      <w:r>
        <w:t>- 18/20 -</w:t>
      </w:r>
    </w:p>
    <w:p>
      <w:r>
        <w:t>C/5496/2022</w:t>
      </w:r>
    </w:p>
    <w:p>
      <w:r>
        <w:t>PAR CES MOTIFS, La Chambre civile : A la forme : Déclare recevable l'appel interjeté le 16 janvier 2023 par A______ contre les chiffres 5 à 7 du dispositif du jugement JTPI/13653/2022 rendu le 17 novembre 2022 par le Tribunal de première instance dans la cause C/5496/2022-7. Au fond : Annule les chiffres 5 à 7 du dispositif de ce jugement et, statuant à nouveau sur ces points : Condamne A______ à payer en mains de B______, par mois d'avance, allocations familiales non comprises, à titre de contributions à l'entretien des enfants C______ et D______, les sommes de 965 fr. par enfant du 1er avril au 31 octobre 2022, puis de 915 fr. par enfant dès le 1er novembre 2022, sous déduction des sommes déjà versées à ce titre, à savoir 1'300 fr. par mois depuis le 1er avril 2022, ainsi que 631 fr. 60. Déboute B______ de ses conclusions en paiement d'une contribution à son propre entretien. Confirme le jugement attaqué pour le surplus. Déboute les parties de toutes autres conclusions. Sur les frais : Arrête les frais judiciaires d'appel à 1'000 fr., les met à la charge des parties par moitié chacune et les compense partiellement avec l'avance versée par A______, acquise à l'Etat de Genève à hauteur de 500 fr. Invite les Services financiers du Pouvoir judiciaire à restituer 500 fr. à A______. Laisse provisoirement la part des frais judiciaires d'appel de B______ à la charge de l'Etat de Genève. Dit que chaque partie supporte ses propres dépens d'appel. Siégeant : Madame Nathalie RAPP, présidente; Madame Sylvie DROIN, Monsieur Jean REYMOND, juges; Madame Sophie MARTINEZ, greffière.</w:t>
      </w:r>
    </w:p>
    <w:p>
      <w:r>
        <w:t>- 19/20 -</w:t>
      </w:r>
    </w:p>
    <w:p>
      <w:r>
        <w:t>C/5496/2022</w:t>
      </w:r>
    </w:p>
    <w:p>
      <w:r>
        <w:t>- 20/20 -</w:t>
      </w:r>
    </w:p>
    <w:p>
      <w:r>
        <w:t>C/5496/2022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