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ACJC/876/2022 vom 29. Juni 2022</w:t>
      </w:r>
    </w:p>
    <w:p>
      <w:r>
        <w:t>GE Cour de justice, 2022-06-29, FR</w:t>
      </w:r>
    </w:p>
    <w:p>
      <w:r>
        <w:rPr>
          <w:b/>
        </w:rPr>
        <w:t xml:space="preserve">Quelle: </w:t>
      </w:r>
      <w:r>
        <w:t>https://mcp.opencaselaw.ch/entscheid/ge_gerichte_ACJC_876_2022</w:t>
      </w:r>
    </w:p>
    <w:p>
      <w:r>
        <w:t>FR: GE_GERICHTE ACJC/876/2022 du 29 juin 2022</w:t>
      </w:r>
    </w:p>
    <w:p>
      <w:r>
        <w:t>IT: GE_GERICHTE ACJC/876/2022 del 29 giugno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sur le principe de la contribution d'entretien due à l'ex- épouse qui, capitalisée selon l'art. 92 al. 2 CPC, atteint une valeur litigieuse supérieure à 10'000 fr. La voie de l'appel est dès lors ouverte.</w:t>
      </w:r>
    </w:p>
    <w:p>
      <w:r>
        <w:rPr>
          <w:b/>
        </w:rPr>
        <w:t>E. 1.2</w:t>
      </w:r>
    </w:p>
    <w:p>
      <w:r>
        <w:t>Déposé dans le délai utile et selon la forme prescrite par la loi (art. 130 al. 1, 131, 142 al. 3 et 311 al. 1 CPC), l'appel est recevable.</w:t>
      </w:r>
    </w:p>
    <w:p>
      <w:r>
        <w:rPr>
          <w:b/>
        </w:rPr>
        <w:t>E. 2</w:t>
      </w:r>
    </w:p>
    <w:p>
      <w:r>
        <w:t>La Cour revoit la cause en fait et en droit avec un plein pouvoir d'examen (art. 310 CPC), mais dans la limite des griefs qui sont formulés (ATF 142 III 413 consid. 2.2.4).</w:t>
      </w:r>
    </w:p>
    <w:p>
      <w:r>
        <w:t>La maxime des débats et le principe de disposition sont applicables (art. 55 al. 1, 58 al. 1 et 277 al. 1 CPC; arrêt du Tribunal fédéral 5A_97/2017 du 23 août 2017 consid. 3.3.1).</w:t>
      </w:r>
    </w:p>
    <w:p>
      <w:r>
        <w:rPr>
          <w:b/>
        </w:rPr>
        <w:t>E. 3</w:t>
      </w:r>
    </w:p>
    <w:p>
      <w:r>
        <w:t>Les parties ont produit des pièces nouvelles devant la Cour.</w:t>
      </w:r>
    </w:p>
    <w:p>
      <w:r>
        <w:rPr>
          <w:b/>
        </w:rPr>
        <w:t>E. 3.1</w:t>
      </w:r>
    </w:p>
    <w:p>
      <w:r>
        <w:t>et 5A_384/2008 du 21 octobre 2008 consid. 5.2). Une atteinte à la santé sans aucun lien avec le mariage, qui n'a pas eu un impact sur la capacité financière du conjoint, ne donne en revanche pas droit, à elle seule, à une contribution d'entretien (arrêt du Tribunal fédéral du 5A_56/2010 du 2 juin 2010 consid. 3.4).</w:t>
      </w:r>
    </w:p>
    <w:p>
      <w:r>
        <w:t>Aucun de ces critères n'a cependant valeur absolue s'agissant de leur conséquence. Il s'agit de principes, applicables à des situations moyennes. Il appartient au juge, en utilisant son pouvoir d’appréciation, de les appliquer aux cas qui lui sont soumis (arrêt du Tribunal fédéral 5A_215/2018 du 1er novembre 2018 consid. 3.1).</w:t>
      </w:r>
    </w:p>
    <w:p>
      <w:r>
        <w:t>En effet, ce ne sont pas des présomptions abstraites, notamment de durée, mais bien plus les circonstances concrètes du cas qui sont déterminantes pour la fixation d'une éventuelle contribution d'entretien, tout comme pour l'éventuelle qualification d'un mariage "lebensprägend". Selon la nouvelle définition du Tribunal fédéral, un mariage est considéré comme étant "lebensprägend"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(ATF 147 III 249 consid. 3.4.3 et 3.4.6).</w:t>
      </w:r>
    </w:p>
    <w:p>
      <w:r>
        <w:t>Lorsque le mariage n'a pas influencé la situation financière des époux, il convient en règle générale de s'en tenir à la situation qui était la leur avant le mariage (ATF 135 III 59 consid. 4; arrêt du Tribunal fédéral 5A_649/2009 du 23 février 2010 consid. 3.2.3). Les conjoints ne peuvent dans ce cas en principe pas prétendre à une contribution d'entretien (ATF 137 III 102 consid. 4.1.2).</w:t>
      </w:r>
    </w:p>
    <w:p>
      <w:r>
        <w:rPr>
          <w:b/>
        </w:rPr>
        <w:t>E. 3.2</w:t>
      </w:r>
    </w:p>
    <w:p>
      <w:r>
        <w:t>En l'occurrence, les pièces nouvelles produites par l'appelante sont recevables, de même que les faits s'y rapportant, ceux-ci étant postérieurs au 17 juin 2021, date à laquelle le premier juge a gardé la cause à juger, ce qui n'est pas remis en cause par l'intimé.</w:t>
      </w:r>
    </w:p>
    <w:p>
      <w:r>
        <w:t>Les pièces nouvelles produites par l'intimé sont antérieures à la date susmentionnée. Elles sont toutefois recevables, ainsi que les faits s'y rapportant, dès lors que leur production a été requise par l'appelante en appel. En tous les cas, ces pièces, qui concernent la situation financière de l'intimé, ne sont pas pertinentes, compte tenu de l'issue du litige (cf. consid. 5.2 infra).</w:t>
      </w:r>
    </w:p>
    <w:p>
      <w:r>
        <w:rPr>
          <w:b/>
        </w:rPr>
        <w:t>E. 4</w:t>
      </w:r>
    </w:p>
    <w:p>
      <w:r>
        <w:t>L'appelante sollicite la production par l'intimé de son bordereau d'impôts 2021, ainsi qu'une attestation du montant de sa prime d'assurance-maladie 2021.</w:t>
      </w:r>
    </w:p>
    <w:p>
      <w:r>
        <w:rPr>
          <w:b/>
        </w:rPr>
        <w:t>E. 4.1</w:t>
      </w:r>
    </w:p>
    <w:p>
      <w:r>
        <w:t>Conformément à l'art. 316 al. 3 CPC, l'instance d'appel peut librement décider d'administrer des preuves: elle peut ainsi ordonner que des preuves administrées en première instance le soient à nouveau devant elle, faire administrer des preuves</w:t>
      </w:r>
    </w:p>
    <w:p>
      <w:r>
        <w:t>- 9/14 -</w:t>
      </w:r>
    </w:p>
    <w:p>
      <w:r>
        <w:t>C/2021/2020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(ATF 138 III 374 consid. 4.3.1. et 4.3.2; arrêts du Tribunal fédéral 5A_906/2012 du 18 avril 2013 consid. 5.1.2 et 4A_228/2012 du 28 août 2012 consid. 2.3).</w:t>
      </w:r>
    </w:p>
    <w:p>
      <w:r>
        <w:t>L'autorité jouit d'un large pouvoir d'appréciation à cet égard (arrêt du Tribunal fédéral 4A_229/2012 du 19 juillet 2012 consid. 4).</w:t>
      </w:r>
    </w:p>
    <w:p>
      <w:r>
        <w:rPr>
          <w:b/>
        </w:rPr>
        <w:t>E. 4.2</w:t>
      </w:r>
    </w:p>
    <w:p>
      <w:r>
        <w:t>En l'espèce, l'intimé a produit, à l'appui de sa réponse, un aperçu de ses primes d'assurance-maladie pour l'année 2021.</w:t>
      </w:r>
    </w:p>
    <w:p>
      <w:r>
        <w:t>S'agissant de son bordereau d'impôts 2021, soit un document permettant d'établir le montant de ses charges mensuelles, force est de constater que celui-ci n'est pas pertinent pour l'issue du litige (cf. consid. 5.2 infra), de sorte qu'il n'y a pas lieu de donner suite à la requête de l'appelante.</w:t>
      </w:r>
    </w:p>
    <w:p>
      <w:r>
        <w:rPr>
          <w:b/>
        </w:rPr>
        <w:t>E. 5</w:t>
      </w:r>
    </w:p>
    <w:p>
      <w:r>
        <w:t>L'appelante fait grief au Tribunal de ne pas lui avoir alloué de contribution d'entretien post-divorce.</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w:t>
      </w:r>
    </w:p>
    <w:p>
      <w:r>
        <w:t>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132 III 598 consid. 9.1).</w:t>
      </w:r>
    </w:p>
    <w:p>
      <w:r>
        <w:t>Une contribution pourrait être due si le mariage a eu un impact décisif sur la vie de l'époux créancier et a concrètement influencé la situation financière de ce dernier ("lebensprägend"). Dans cette hypothèse, on admet en effet que la confiance placée par l'époux créancier dans la continuité du mariage et dans le maintien de la répartition des rôles, convenue librement par les époux, mérite</w:t>
      </w:r>
    </w:p>
    <w:p>
      <w:r>
        <w:t>- 10/14 -</w:t>
      </w:r>
    </w:p>
    <w:p>
      <w:r>
        <w:t>C/2021/2020 objectivement d'être protégée (ATF 141 III 465 consid. 3.1; 135 III 59 consid. 4.1). Lors de cet examen, plusieurs critères peuvent plaider en faveur ou en défaveur d'une présomption du caractère "lebensprägend", notamment la durée du mariage, la présence d'enfants et la répartition des tâches durant le mariage, le déracinement culturel de l'un des conjoints ou tout autre motif créant une position de confiance digne de protection (arrêts du Tribunal fédéral 5A_465/2016 du 19 janvier 2017 consid. 7.2.1 et 5A_623/2012 du 28 janvier 2013 consid. 5.1). Cela peut notamment être le cas lorsqu'un conjoint souffre d'une maladie durable qui influence sa capacité de gain, si la maladie est en lien avec le mariage, notamment qu'elle est apparue pendant le mariage ou est en lien avec la répartition des tâches durant celui-ci (arrêts du Tribunal fédéral 5A_361/2018 du 26 juin 2018 consid.</w:t>
      </w:r>
    </w:p>
    <w:p>
      <w:r>
        <w:rPr>
          <w:b/>
        </w:rPr>
        <w:t>E. 5.2</w:t>
      </w:r>
    </w:p>
    <w:p>
      <w:r>
        <w:t>En l'espèce, le mariage a duré près de quinze ans jusqu'à la séparation en avril 2011 et les ex-époux ont eu deux enfants.</w:t>
      </w:r>
    </w:p>
    <w:p>
      <w:r>
        <w:t>Cela étant, alors qu'elle en avait le fardeau, l'appelante n'a pas allégué en première instance, ni a fortiori établi, avoir cessé de travailler ou réduit son taux d'activité</w:t>
      </w:r>
    </w:p>
    <w:p>
      <w:r>
        <w:t>- 11/14 -</w:t>
      </w:r>
    </w:p>
    <w:p>
      <w:r>
        <w:t>C/2021/2020 durant la vie commune, afin de s'occuper des enfants et du ménage. Elle n'a pas non plus allégué la ou les activité(s) qu'elle a exercée(s) durant le mariage, ni même le taux de celle(s)-ci. En effet, elle s'est limitée à soutenir avoir été investie dans l'éducation des enfants, sans pour autant établir s'en être occupée de manière prépondérante ou avoir travaillé à temps partiel. Par ailleurs, à la séparation, les parties se sont entendues sur la mise en place d'une garde partagée sur les enfants, à raison d'une semaine chacune et de la moitié des vacances scolaires, ce qui renforce l'idée qu'elles avaient opté pour une répartition équivalente des tâches durant le mariage. Le seul fait, qu'à teneur de la convention de médiation sur mesures protectrices de l'union conjugale du 6 février 2012, l'appelante était au bénéfice d'indemnités de chômage bien moins élevées que celles perçues par l'intimé, ne suffit pas à établir qu'elle aurait réduit son temps de travail, durant la vie commune, pour s'occuper des enfants.</w:t>
      </w:r>
    </w:p>
    <w:p>
      <w:r>
        <w:t>De plus, comme retenu par le premier juge, la volonté des parties, au moment de la séparation, était de privilégier le principe du clean break et non celui de la solidarité, l'appelante s'estimant capable de subvenir seule à ses besoins. En effet, à teneur de la convention susvisée, cette dernière était en mesure de travailler, dès lors qu'elle recherchait un emploi. Cette convention prévoyait, en outre, de limiter le versement d'une pension en faveur de l'appelante au 31 décembre 2013, au plus tard. En effet, si cette dernière augmentait ses revenus de 1'500 fr. par mois, l'intimé ne devait plus contribuer à son entretien.</w:t>
      </w:r>
    </w:p>
    <w:p>
      <w:r>
        <w:t>Compte tenu de ce qui précède, l'appelante n'a pas établi que l'union conjugale a eu un impact décisif sur sa carrière professionnelle et, par conséquent, sur sa situation financière.</w:t>
      </w:r>
    </w:p>
    <w:p>
      <w:r>
        <w:t>Reste à examiner si la péjoration de l'état de santé de l'appelante a créé une position de confiance devant être protégée, même si le mariage n'a pas eu d'impact décisif sur sa capacité de gain.</w:t>
      </w:r>
    </w:p>
    <w:p>
      <w:r>
        <w:t>Il ressort du dossier et des allégations des parties que l'appelante souffre de douleurs chroniques dues à une atteinte neurologique des suites d'une opération, qui s'est déroulée en 2011. En décembre 2017, elle a été reconnue invalide et mise au bénéfice d'une rente entière d'invalidité, avec effet rétroactif au 1er mars 2013. Or, les parties se sont séparées en avril 2011, soit l'année de l'opération précitée et environ deux ans avant la reconnaissance de l'invalidité de l'appelante. Cette dernière n'a d'ailleurs pas allégué quel était son état de santé avant cette opération, soit durant le mariage, ni les éventuelles conséquences de celui-ci sur sa capacité de gain.</w:t>
      </w:r>
    </w:p>
    <w:p>
      <w:r>
        <w:t>Dans ces circonstances, il n'est pas établi que la dégradation de l'état de santé de l'appelante aurait un lien avec l'union conjugale ou la répartition des tâches durant</w:t>
      </w:r>
    </w:p>
    <w:p>
      <w:r>
        <w:t>- 12/14 -</w:t>
      </w:r>
    </w:p>
    <w:p>
      <w:r>
        <w:t>C/2021/2020 celle-ci. Cette péjoration ne peut donc pas fonder une solidarité entre les parties et un devoir de l'intimé à contribuer à l'entretien de l'appelante après le divorce.</w:t>
      </w:r>
    </w:p>
    <w:p>
      <w:r>
        <w:t>L'appelante n'a d'ailleurs pas entrepris une nouvelle médiation avec l'intimé, afin que ce dernier contribue à son entretien au-delà du 31 décembre 2013, en raison de la dégradation de son état de santé, comme prévu dans la convention de médiation du 6 février 2012. L'allégation de l'appelante, selon laquelle elle n'était pas en mesure d'entreprendre une nouvelle médiation, car elle avait concentré ses efforts à l'obtention de prestations complémentaires, ne saurait non plus fonder un devoir de solidarité de l'intimé, d'autant plus que les parties sont séparées depuis plus de onze ans.</w:t>
      </w:r>
    </w:p>
    <w:p>
      <w:r>
        <w:t>En outre, contrairement à ce que soutient l'appelante, le fait que l'intimé bénéficie d'une situation financière stable et confortable n'est pas, en soi, déterminant pour statuer sur le principe d'une contribution d'entretien post-divorce. Il en va de même du fait que les allocations familiales ou d'études et les rentes AI et LPP de l'adolescente sont dorénavant perçues par ce dernier, de sorte que ses revenus ne sont pas impactés par la garde de celle-ci.</w:t>
      </w:r>
    </w:p>
    <w:p>
      <w:r>
        <w:t>Compte tenu de l'ensemble de ce qui précède, l'appelante ne peut pas se prévaloir d'une confiance particulière qu'elle aurait placée dans la continuité du mariage et dans le maintien de la répartition des rôles, convenue par les parties, qui mériterait objectivement d'être protégée après le divorce. Le Tribunal a donc, à bon droit, considéré qu'aucune contribution d'entretien post-divorce ne lui était due.</w:t>
      </w:r>
    </w:p>
    <w:p>
      <w:r>
        <w:t>Dans la mesure où le principe même du droit à une pension alimentaire post- divorce est exclu, il n'est pas nécessaire d'examiner les critiques formulées par l'appelante en lien avec l'établissement des situations financières des parties, soit le montant de la charge fiscale et de la prime d'assurance-maladie de l'intimé, ainsi que ses revenus et son déficit mensuel (subsidiarité D______ par rapport à une contribution d'entretien et le montant desdites prestations compte tenu de la procédure n° A/1______/2021).</w:t>
      </w:r>
    </w:p>
    <w:p>
      <w:r>
        <w:t>Partant, le chiffre 13 du dispositif du jugement entrepris sera confirmé.</w:t>
      </w:r>
    </w:p>
    <w:p>
      <w:r>
        <w:rPr>
          <w:b/>
        </w:rPr>
        <w:t>E. 6</w:t>
      </w:r>
    </w:p>
    <w:p>
      <w:r>
        <w:t>Les frais judiciaires d'appel, fixés à 1'250 fr. (art. 30 et 35 RTFMC), seront mis à la charge de l'appelante, qui succombe (art. 104 al. 1, 105, 106 al. 1 CPC). Ils seront compensés avec l'avance de frais de même montant versée par celle-ci, qui reste acquise à l'Etat de Genève (art. 111 al. 1 CPC).</w:t>
      </w:r>
    </w:p>
    <w:p>
      <w:r>
        <w:t>Pour des motifs d'équité liés à la nature du litige, chaque partie supportera ses propres dépens d'appel (art. 107 al. 1 let. c. CPC). * * * * *</w:t>
      </w:r>
    </w:p>
    <w:p>
      <w:r>
        <w:t>- 13/14 -</w:t>
      </w:r>
    </w:p>
    <w:p>
      <w:r>
        <w:t>C/2021/2020 PAR CES MOTIFS, La Chambre civile : A la forme : Déclare recevable l'appel interjeté le 8 novembre 2021 par A______ contre le chiffre 13 du dispositif du jugement JTPI/12452/2021 rendu le 30 septembre 2021 par le Tribunal de première instance dans la cause C/2021/2020. Au fond : Confirme ledit chiffre 13. Déboute les parties de toutes autres conclusions. Sur les frais : Arrête les frais judiciaires d'appel à 1'250 fr., les met à la charge de A______ et les compense entièrement avec l'avance effectuée par celle-ci, qui demeure acquise à l'Etat de Genève. Dit que chaque partie supporte ses propres dépens d'appel. Siégeant : Madame Jocelyne DEVILLE-CHAVANNE, présidente; Madame Verena PEDRAZZINI RIZZI, Madame Nathalie LANDRY-BARTHE, juges; Madame Sophie MARTINEZ, greffière.</w:t>
      </w:r>
    </w:p>
    <w:p>
      <w:r>
        <w:t>La présidente : Jocelyne DEVILLE-CHAVANNE</w:t>
      </w:r>
    </w:p>
    <w:p>
      <w:r>
        <w:t>La greffière : Sophie MARTINEZ</w:t>
      </w:r>
    </w:p>
    <w:p>
      <w:r>
        <w:t>- 14/14 -</w:t>
      </w:r>
    </w:p>
    <w:p>
      <w:r>
        <w:t>C/2021/2020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