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ACJC/875/2021 vom 30. Juni 2021</w:t>
      </w:r>
    </w:p>
    <w:p>
      <w:r>
        <w:t>GE Cour de justice, 2021-06-30, FR</w:t>
      </w:r>
    </w:p>
    <w:p>
      <w:r>
        <w:rPr>
          <w:b/>
        </w:rPr>
        <w:t xml:space="preserve">Quelle: </w:t>
      </w:r>
      <w:r>
        <w:t>https://mcp.opencaselaw.ch/entscheid/ge_gerichte_ACJC_875_2021</w:t>
      </w:r>
    </w:p>
    <w:p>
      <w:r>
        <w:t>FR: GE_GERICHTE ACJC/875/2021 du 30 juin 2021</w:t>
      </w:r>
    </w:p>
    <w:p>
      <w:r>
        <w:t>IT: GE_GERICHTE ACJC/875/2021 del 30 giugno 2021</w:t>
      </w:r>
    </w:p>
    <w:p>
      <w:pPr>
        <w:pStyle w:val="Heading2"/>
      </w:pPr>
      <w:r>
        <w:t>Erwägungen</w:t>
      </w:r>
    </w:p>
    <w:p>
      <w:r>
        <w:rPr>
          <w:b/>
        </w:rPr>
        <w:t>E. 15</w:t>
      </w:r>
    </w:p>
    <w:p>
      <w:r>
        <w:t>janvier 2021, A______ a informé le Tribunal par téléphone de ce qu'elle était en quarantaine et de ce qu'elle enverrait un certificat médical ainsi que les pièces qu'elle souhaitait déposer à l'audience. Lors de l'audience du 15 janvier 2021 devant le Tribunal, A______ n'était ni présente ni représentée. B______ SA a persisté dans ses conclusions. Le Tribunal l'a informée de ce que A______ était en quarantaine mais enverrait par la poste les pièces qu'elle souhaitait déposer. Sur quoi, il a gardé la cause à juger dans l'hypothèse où la décision de quarantaine ne lui parvenait pas dans les dix jours. Il a réservé la procédure écrite dans le cas contraire. Aucun document n'est parvenu au Tribunal dans le délai imparti.</w:t>
      </w:r>
    </w:p>
    <w:p>
      <w:r>
        <w:t>EN DROIT 1. 1.1 S'agissant d'une procédure de mainlevée, seule la voie du recours est ouverte (art. 319 let. a et 309 let. b ch. 3 CPC). La procédure sommaire s'applique (art. 251 let. a CPC).</w:t>
      </w:r>
    </w:p>
    <w:p>
      <w:r>
        <w:t>- 4/7 -</w:t>
      </w:r>
    </w:p>
    <w:p>
      <w:r>
        <w:t>C/16990/2020 Le recours, écrit et motivé, doit être introduit auprès de l'instance de recours dans les dix jours à compter de la notification de la décision motivée (art. 321 al. 1 et 2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Bien que le CPC ne les mentionne pas expressément, le recours doit contenir des conclusions.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S'agissant de la recevabilité de l'appel ou du recours contre un jugement rendu par défaut, du fait de la limitation de l'art. 317 al. 1 let. b CPC, la voie de l'appel ou du recours permettra au défaillant d'invoquer n'importe quelle violation du droit (art. 310 let. a et 320 let. a CPC), y compris le droit de procédure. Dans la mesure où le contrôle de l'application du droit matériel (resp. du droit de procédure) doit pouvoir être effectué, sur la base du seul dossier soumis au premier juge, par l'autorité de recours saisie d'un appel d'un jugement rendu par défaut, les conclusions en appel ne doivent pas être qualifiées de conclusions nouvelles en tant qu'elles ne concluent qu'au déboutement. En effet, le principe de la bonne foi implique de considérer que celui qui ne prend aucune conclusion en première instance n'acquiesce pas à la demande, mais est présumé s'y opposer. De la sorte, des conclusions en déboutement prises en appel ne sont que les conclusions implicites de première instance formalisées. Des conclusions différenciées ou comportant des objections ou exceptions ne pourraient par contre pas être reçues (ACJC/190/2016 du 12 février 2016, consid. 2.2 et les références citées). En l'espèce, le recours a été déposé en temps utile (art. 142 al. 1 et 3 et 145 al. 2 let. b CPC). La recourante n'a pas comparu devant le premier juge ni ne s'est déterminée, alors que la possibilité lui en avait été donnée. Elle était partant défaillante. Seules des conclusions en déboutement de l'intimée seraient dès lors recevables, tout autre conclusion devant être considérée comme nouvelle et en</w:t>
      </w:r>
    </w:p>
    <w:p>
      <w:r>
        <w:t>- 5/7 -</w:t>
      </w:r>
    </w:p>
    <w:p>
      <w:r>
        <w:t>C/16990/2020 conséquence irrecevable. Cela étant, il n'y a pas lieu d'examiner plus avant la recevabilité du recours tant en ce qui concerne le contenu éventuel des conclusions, tel qu'on pourrait le comprendre en faisant preuve d'indulgence à l'égard d'un justiciable comparant en personne, que leur motivation, celui-ci devant de toute façon être rejeté pour les raisons qui suivent. 1.2 Les conclusions, les allégations de faits et les preuves nouvelles sont irrecevables (art. 326 al. 1 CPC). Il s'ensuit que les allégations et les pièces nouvelles de la recourante sont irrecevables. 1.3 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1.4 La procédure sommaire étant applicable (art. 251 let. a CPC), la preuve des faits allégués doit être apportée par titres (art. 254 al. 1 CPC). Les maximes des débats et de disposition s'appliquent (art. 55 al. 1, 255 let. a a contrario et art. 58 al. 1 CPC). 2. 2.1 Selon l'art. 82 al. 1 LP, le créancier dont la poursuite se fonde sur une reconnaissance de dette constatée par acte authentique ou sous seing privé peut requérir la mainlevée provisoire. Selon l'art. 82 al. 2 LP, le juge prononce la mainlevée si le débiteur ne rend pas immédiatement vraisemblable sa libération. Le juge doit vérifier d'office notamment l'existence matérielle d'une reconnaissance de dette (ATF 132 III 140 consid. 4.1.1).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w:t>
      </w:r>
    </w:p>
    <w:p>
      <w:r>
        <w:t>- 6/7 -</w:t>
      </w:r>
    </w:p>
    <w:p>
      <w:r>
        <w:t>C/16990/2020 Ainsi le contrat d'entreprise vaut reconnaissance de dette pour le prix convenu, pour autant que l'entrepreneur établisse qu'il a exécuté sa prestation (KRAUSKOPF, La mainlevée provisoire: quelques jurisprudences récentes in JT 2008 II 23 p. 34). 2.2 En l'espèce, comme retenu à juste titre par le Tribunal, le devis signé par la recourante, comportant le prix convenu pour les travaux à exécuter, vaut reconnaissance de dette. Il ressort de l'attestation du 3 août 2020 et de la photographie produite que l'intimée a réalisé les travaux commandés. Aucun élément au dossier ne permet de considérer que ceux-ci n'auraient pas été réalisés dans les règles de l'art et conformément à ce qui avait été convenu. La recourante n'a pas rendu vraisemblable sa libération. Le recours, infondé, sera partant rejeté. 3. La recourante, qui succombe, sera condamnée aux frais du recours (art. 106 al. 1 CPC), arrêtés à 300 fr. (art. 48 et 61 OELP), compensés avec l'avance fournie, acquise à l'Etat. Elle sera en outre condamnée à verser à l'intimée la somme de 500 fr. à titre de dépens de recours (art. 84, 88 et 90 RTFMC). * * * * *</w:t>
      </w:r>
    </w:p>
    <w:p>
      <w:r>
        <w:t>- 7/7 -</w:t>
      </w:r>
    </w:p>
    <w:p>
      <w:r>
        <w:t>C/16990/2020 PAR CES MOTIFS, La Chambre civile : Rejette le recours interjeté le 20 février 2021 par A______ contre le jugement JTPI/1638/2021 rendu le 8 février 2021 par le Tribunal de première instance dans la cause C/16990/2020-1 SML, dans la mesure de sa recevabilité. Déboute les parties de toutes autres conclusions. Sur les frais : Arrête les frais du recours à 300 fr., les met à la charge de A______, et dit qu'ils sont compensés avec l'avance fournie, acquise à l'Etat de Genève. Condamne A______ à verser à B______ SA la somme de 500 fr. à titre de dépens de recours. Siégeant : Madame Pauline ERARD, présidente; Madame Sylvie DROIN et Madame Nathalie LANDRY-BARTHE,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