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ACJC/875/2020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https://mcp.opencaselaw.ch/entscheid/ge_gerichte_ACJC_875_2020</w:t>
      </w:r>
    </w:p>
    <w:p>
      <w:r>
        <w:t>FR: GE_GERICHTE ACJC/875/2020 du 15 juin 2020</w:t>
      </w:r>
    </w:p>
    <w:p>
      <w:r>
        <w:t>IT: GE_GERICHTE ACJC/875/2020 del 15 giugno 2020</w:t>
      </w:r>
    </w:p>
    <w:p>
      <w:pPr>
        <w:pStyle w:val="Heading2"/>
      </w:pPr>
      <w:r>
        <w:t>Volltext</w:t>
      </w:r>
    </w:p>
    <w:p>
      <w:r>
        <w:t>Le présent arrêt est communiqué aux parties, ainsi qu'au Registre foncier par plis recommandés du 09.07.2020.</w:t>
      </w:r>
    </w:p>
    <w:p>
      <w:r>
        <w:t>REPUBLIQUE ET</w:t>
      </w:r>
    </w:p>
    <w:p>
      <w:r>
        <w:t>CANTON DE GENEVE POUVOIR JUDICIAIRE C/2468/2020 ACJC/875/2020 ARRÊT DE LA COUR DE JUSTICE Chambre civile DU LUNDI 15 JUIN 2020</w:t>
      </w:r>
    </w:p>
    <w:p>
      <w:r>
        <w:t>Entre Monsieur A______, domicilié ______[GE], recourant contre une ordonnance rendue par la 4ème Chambre du Tribunal de première instance de ce canton le 27 avril 2020, comparant en personne, et 1) B______ SA, sise ______[GE], intimée, comparant par Me Mark Muller, avocat, rue Ferdinand-Hodler 13, 1207 Genève, en l'étude duquel elle fait élection de domicile, 2) Madame C______, domiciliée ______[GE], autre intimée, comparant en personne.</w:t>
      </w:r>
    </w:p>
    <w:p>
      <w:r>
        <w:t>- 2/3 -</w:t>
      </w:r>
    </w:p>
    <w:p>
      <w:r>
        <w:t>C/2468/2020 Vu l'ordonnance OTPI/243/2020 rendue le 27 avril 2020 par le Tribunal de première instance dans la cause C/2468/2020-4 SP, ordonnant, aux frais, risques et périls de B______ SA, au Conservateur du Registre foncier de Genève de procéder à l'encontre de C______ et A______, à l'inscription provisoire au profit de B______ SA d'une hypothèque légale des artisans et entrepreneurs à concurrence de 100'000 fr. avec intérêts à 5% dès le 13 décembre 2019 sur la parcelle no 1______ de la commune de D______, propriété de C______ et A______; Vu la mention, à la fin de l'ordonnance, que celle-ci est susceptible d'un appel dans un délai de 10 jours suivant sa notification; Vu l'appel expédié par A______ à la Cour de justice le 29 mai 2020 contre cette ordonnance; Attendu, EN FAIT, qu'à teneur du suivi de La Poste, l'ordonnance entreprise a été notifiée à la partie appelante le 2 mai 2020; Considérant, EN DROIT, que le délai pour former appel contre une décision rendue sur mesures provisionnelles en procédure sommaire, est de dix jours (art. 319 let. b; 309 let. b ch. 3, 251 let. a et 321 al. 2 CPC); Que la décision ordonnant l'inscription d'une hypothèque légale provisoire est une mesure provisionnelle rendue en procédure sommaire; Que le pli contenant l'ordonnance dont est appel a été notifié le 2 mai 2020 à A______, de sorte que le délai de recours venait à échéance le 12 mai 2020; Qu'ainsi, l'appel, expédié après l'expiration de ce délai, est irrecevable, ce que la Cour peut constater d'entrée de cause et sans débats, en application de l'art. 322 al. 1 in fine CPC; Qu'en tout état, l'appel est dépourvu de motivation (art. 311 al. 1 CPC); Qu'il ne sera pas perçu de frais judiciaires, vu l'issue du litige (art. 7 al. 2 RTFMC). * * * * *</w:t>
      </w:r>
    </w:p>
    <w:p>
      <w:r>
        <w:t>- 3/3 -</w:t>
      </w:r>
    </w:p>
    <w:p>
      <w:r>
        <w:t>C/2468/2020 PAR CES MOTIFS, La Chambre civile : Déclare irrecevable l'appel formé le 29 mai 2020 par A______ contre l'ordonnance OTPI/243/2020 rendue le 27 avril 2020 par le Tribunal de première instance dans la cause C/2468/2020-4 SP. Dit qu'il n'est pas perçu de frais judiciaires pour la procédure d'appel.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