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ACJC/875/2012 vom 2. September 2011</w:t>
      </w:r>
    </w:p>
    <w:p>
      <w:r>
        <w:t>GE Cour de justice, 2011-09-02, FR</w:t>
      </w:r>
    </w:p>
    <w:p>
      <w:r>
        <w:rPr>
          <w:b/>
        </w:rPr>
        <w:t xml:space="preserve">Quelle: </w:t>
      </w:r>
      <w:r>
        <w:t>https://mcp.opencaselaw.ch/entscheid/ge_gerichte_ACJC_875_2012</w:t>
      </w:r>
    </w:p>
    <w:p>
      <w:r>
        <w:t>FR: GE_GERICHTE ACJC/875/2012 du 2 septembre 2011</w:t>
      </w:r>
    </w:p>
    <w:p>
      <w:r>
        <w:t>IT: GE_GERICHTE ACJC/875/2012 del 2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t>- 7/16 -</w:t>
      </w:r>
    </w:p>
    <w:p>
      <w:r>
        <w:t>C/13541/2009</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w:t>
      </w:r>
    </w:p>
    <w:p>
      <w:r>
        <w:rPr>
          <w:b/>
        </w:rPr>
        <w:t>E. 2.2</w:t>
      </w:r>
    </w:p>
    <w:p>
      <w:r>
        <w:t>En l'espèce, le loyer annuel, charges comprises, s'élève à 18'300 fr. La pro- cédure cantonale s'achèvera avec l'arrêt que prononcera la Chambre de céans. En prenant en compte la période de trois ans après cet arrêt, la valeur litigieuse est largement supérieure à 10'000 fr. (18'300 fr. x 3 ans + 5 mois de procédure can- tonale = 62'525 fr.).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Déposé selon la forme et dans le délai prescrit, l'appel est recevable.</w:t>
      </w:r>
    </w:p>
    <w:p>
      <w:r>
        <w:t>- 8/16 -</w:t>
      </w:r>
    </w:p>
    <w:p>
      <w:r>
        <w:t>C/13541/2009</w:t>
      </w:r>
    </w:p>
    <w:p>
      <w:r>
        <w:rPr>
          <w:b/>
        </w:rPr>
        <w:t>E. 3</w:t>
      </w:r>
    </w:p>
    <w:p>
      <w:r>
        <w:t>La Cour revoit la cause avec un plein pouvoir d'examen, tant en fait qu'en droit (art. 310 CPC; HOHL, Procédure civile, tome II, 2010, n. 2314 et 2416; RETORNAZ, op. cit., p. 349 ss, n. 121).</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 menté, Bâle, 2011, no 6 ad art. 317 CPC). Lorsque la procédure est soumise à la maxime inquisitoire, le moment où les faits et moyens de preuve nouveaux sont admis est l'entrée en délibération de l'instance d'appel (VOLKART, DIKE-Komm-ZPO, 2011, n. 17 zu art. 317; BRUNNER, Kuko ZPO, 2010, n. 8 zu art. 317; REETZ/HILBER, op. cit., n. 14 zu 317; SPUHLER, Basler Kommentar, 2010, n. 7 zu art. 317; RETORNAZ,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 quées à leur appui, les seconds visant les faits qui se sont déjà réalisés avant le jugement, mais qui n'ont pas été invoqués par négligence ou ont été invoqués de manière imprécise (SPUHLER, op. cit., n. 1-4 zu art. 317). Concernant la diligence, cette condition ne concerne que les faux novas, à savoir les faits (et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(JEANDIN, op. cit., no 8 ad art. 317 CPC).</w:t>
      </w:r>
    </w:p>
    <w:p>
      <w:r>
        <w:rPr>
          <w:b/>
        </w:rPr>
        <w:t>E. 4.2</w:t>
      </w:r>
    </w:p>
    <w:p>
      <w:r>
        <w:t>Dans le cas d'espèce, l'appelante a produit deux pièces nouvelles en appel datant de 2006 et du 6 mai 2011. Elle n'explique pas pour quelle raison elle aurait été empêchée de les produire devant le Tribunal. Ces pièces sont dès lors irre- cevables. S'agissant des pièces versées à la procédure par les intimés, datant de 2006 à 2009, elles auraient dû être produites devant les premiers juges. Les intimés n'ont fourni aucune motivation quant à une éventuelle impossibilité de le faire, de sorte que les pièces E à J et M à O seront déclarées irrecevables.</w:t>
      </w:r>
    </w:p>
    <w:p>
      <w:r>
        <w:t>- 9/16 -</w:t>
      </w:r>
    </w:p>
    <w:p>
      <w:r>
        <w:t>C/13541/2009</w:t>
      </w:r>
    </w:p>
    <w:p>
      <w:r>
        <w:rPr>
          <w:b/>
        </w:rPr>
        <w:t>E. 5</w:t>
      </w:r>
    </w:p>
    <w:p>
      <w:r>
        <w:t>septembre 2001 relatif à la déclaration de force obligatoire générale du contrat- cadre romand de baux à loyer [FF 2001 5509]), avec effet jusqu'au 30 juin 2008 (art. 5; depuis le 1er juillet 2008, cf. arrêté fédéral du 25 juin 2008 relatif à la déclaration de force obligatoire générale du contrat-cadre romand de baux à loyer et à la dérogation aux dispositions impératives du droit du bail [FF 2008 5289]). Cette force obligatoire vaut en particulier pour l'art. 8 des dispositions paritaires romandes (cf. art. 1 al. 2), applicable aux sous-locations qui n'ont pas été tacite- ment admises avant le 1er juillet 1990 (art. 8 des dispositions générales du con- trat-cadre romand).</w:t>
      </w:r>
    </w:p>
    <w:p>
      <w:r>
        <w:t>- 12/16 -</w:t>
      </w:r>
    </w:p>
    <w:p>
      <w:r>
        <w:t>C/13541/2009 Par arrêté fédéral du même jour, le Conseil fédéral a en outre donné aux art. 2 al. 6 et 9 al. 2 du contrat-cadre de baux à loyer conclu le 18 décembre 2000 l'auto- risation de déroger aux dispositions impératives du CO (art. 1 let. a et b de l'arrêté fédéral du 5 septembre 2001 relatif à l'autorisation de dérogation à des disposi- tions impératives du droit du bail [FF 2001 4704]; depuis le 1er juillet 2008, cf. arrêté fédéral du 25 juin 2008 relatif à la déclaration de force obligatoire géné- rale du contrat-cadre romand de baux à loyer et à la dérogation aux dispositions impératives du droit du bail [FF 2008 5289]). Contrairement à ce que prévoit le CO, qui ne soumet l'autorisation du bailleur de sous-louer à aucune forme, le contrat-cadre romand prévoit que celui-ci doit être donné en la forme écrite. Cela étant, si le Conseil fédéral a certes déclaré le con- trat-cadre romand, dont l'art. 8, de force obligatoire générale, il n'a en revanche pas donné à ce dernier article l'autorisation de déroger aux dispositions impéra- tives du CO, auxquelles appartient l'art. 262 CO (AF 134 III 300 consid. 3). Dans ces circonstances, il y a lieu de considérer que l'art. 8 du contrat-cadre romand ne change rien aux conditions de validité de la sous-location telles qu'elles résultent de l'art. 262 CO, mais ne fait que préciser des exigences de forme, dans le but de permettre de clarifier les rapports entre les parties et de faciliter la preuve qu'une sous-location est régulière, ce tant dans l'intérêt du bailleur, du sous-bailleur que du sous-locataire. Interpellé par le locataire, le bailleur devra se déterminer sur la demande de sous-location dans un délai de trente jours; le non-respect du délai de réponse comme le silence du bailleur n'équivalent pas à une autorisation tacite de sous-louer, puisque celle-ci doit être écrite. Le preneur devra alors exercer son droit à la sous-location en saisissant la commission de conciliation puis, le cas échéant, le juge (cf. RONCORONI, Zu den zwei ersten allgemeinverbindlich erklärten Rahmenmietverträgen der Schweiz, Mietrechtpraxis [MP] 2004 p. 1 ss, p. 9 no 10 et p. 22 no 2; SULLIGER/ANSERMET, Le contrat-cadre romand de baux à loyer et les dispositions paritaires romandes et règles et usages locatifs du canton de Vaud, Cahiers du bail [CdB] 2002, p. 97 ss, p. 107 no 1.34). L'art. 8 du contrat-cadre romand implique ainsi que si les conditions légales de la sous-loca- tion sont réalisées, le bailleur doit l'autoriser par écrit dans un délai de trente jours à dater de la demande (cf. LACHAT, Nouveautés en droit du bail : Les contrats- cadres; le montant du loyer, in SJ 2003 II p. 153 ss, spéc. p. 162) (arrêt du Tribunal fédéral 4A_570/2008 du 19.5.2009 consid. 3).</w:t>
      </w:r>
    </w:p>
    <w:p>
      <w:r>
        <w:rPr>
          <w:b/>
        </w:rPr>
        <w:t>E. 5.1</w:t>
      </w:r>
    </w:p>
    <w:p>
      <w:r>
        <w:t>Un congé est inefficace et dénué d’effet lorsqu’il ne satisfait pas aux exigen- ces légales ou contractuelles auxquelles est subordonné son exercice. Ainsi, le congé motivé par le défaut de paiement de loyer, alors qu’en réalité, le loyer a été payé, le congé donné pour de justes motifs qui ne sont pas réalisés, le congé signi- fié pour une date qui ne correspond pas aux termes contractuels ou légaux (art. 266a al. 2 CO), le congé donné en raison d’une violation des devoirs de dili- gence qui se révèlera inexistante et le congé anticipé donné à la suite d'un transfert de propriété, alors que le besoin n’est pas urgent, est inefficace (cf. ATF 121 III 156, 161 et ACJC/149/1997 du 17 février 1997, S. c/ de O. et M.). Les effets d’un congé inefficace ne sont pas reportés au prochain terme contractuel utile. L’art. 266 a al. 2 CO n’est pas applicable au congé extraordinaire (ACJC/115/2005 du 14 février 2005, T. c/ Z.).</w:t>
      </w:r>
    </w:p>
    <w:p>
      <w:r>
        <w:rPr>
          <w:b/>
        </w:rPr>
        <w:t>E. 5.2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 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 mé en vain le locataire de mettre un terme à la sous-location (HIGI, arrêt du Tribunal fédéral 4A_516/2007 du 6.3.2008 consid. 3.1).</w:t>
      </w:r>
    </w:p>
    <w:p>
      <w:r>
        <w:t>- 10/16 -</w:t>
      </w:r>
    </w:p>
    <w:p>
      <w:r>
        <w:t>C/13541/2009 L'exigence selon laquelle le maintien du bail doit être devenu insupportable n'a pas de portée propre (ATF 134 III 300 consid. 3.1 p. 302 ss, 446 consid. 2.2 p. 449; 132 III 109).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 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 Le transfert de bail et la sous-location se distinguent notamment par une intention différente du locataire. Dans le premier cas, il entend remettre son droit d'usage à un tiers et se libérer en même temps du bail. Dans le second, le locataire veut toujours revendiquer l'usage de la chose et disposer de son droit d'usage (ATF 134 III 446 consid. 2.5). Depuis 2010, le Tribunal fédéral a précisé ses précédentes jurisprudences, en par- ticulier s'agissant de la question de la volonté du locataire de réintégrer un jour le logement sous-loué. Il a ainsi retenu que "le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 ments futurs incertains, on peut penser que de nombreux locataires ne voudront plus abandonner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 l'occupant détenant son droit de son bailleur direct, lequel le détiendrait d'un autre bailleur de rang supé- rieur et ainsi de suite. En permettant la sous-location à l'art. 262 CO, le législateur n'avait certainement pas en vue des locataires qui s'incrustent dans leur droit tout</w:t>
      </w:r>
    </w:p>
    <w:p>
      <w:r>
        <w:t>- 11/16 -</w:t>
      </w:r>
    </w:p>
    <w:p>
      <w:r>
        <w:t>C/13541/2009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 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4.10.2010 consid. 2.1). Le bailleur qui notifie un congé extraordinaire doit prouver les faits qui en sont la condition. Lorsqu'il soutient, comme en l'espèce, que le locataire n'a pas l'inten- tion de réintégrer les locaux et abuse en conséquence de son droit de sous-louer, il lui incombe d'apporter la preuve des faits qui permettent de parvenir à cette con- viction (art. 8 CC). Cependant s'il est parvenu à apporter des preuves convain- cantes, le locataire ne peut pas se désintéresser de l'administration des preuves et il doit s'efforcer de prouver les circonstances particulières qui pourraient ébranler la force probante des éléments apportés par le bailleur (ATF 4A_367/2010 du 4.10.2010 consid. 2.2; WEBER, Commentaire bâlois, 2003, no 5 ad art. 262 CO).</w:t>
      </w:r>
    </w:p>
    <w:p>
      <w:r>
        <w:rPr>
          <w:b/>
        </w:rPr>
        <w:t>E. 5.3</w:t>
      </w:r>
    </w:p>
    <w:p>
      <w:r>
        <w:t>L'art. 8 du contrat-cadre romand dispose que lorsque le locataire veut sous- louer tout ou partie de la chose, il doit préalablement demander le consentement écrit du bailleur en indiquant les conditions de la sous-location et les rensei- gnements requis par le bailleur en application de l'art. 262 CO (al. 1). Le bailleur doit se prononcer dans les trente jours, dès réception de la demande (al. 2). Par arrêté du 5 septembre 2001, le Conseil fédéral a déclaré les dispositions du contrat-cadre de bail à loyer du 18 décembre 2000 de force obligatoire générale pour les cantons de Genève, Vaud, Neuchâtel, Fribourg, Jura et les sept districts de langue française du canton du Valais (art. 1 al. 1 de l'arrêté fédéral du</w:t>
      </w:r>
    </w:p>
    <w:p>
      <w:r>
        <w:rPr>
          <w:b/>
        </w:rPr>
        <w:t>E. 5.4</w:t>
      </w:r>
    </w:p>
    <w:p>
      <w:r>
        <w:t>Les conditions abusives visées par l'art. 262 al. 2 lit. b CO concernent avant tout le loyer de la sous-location. L'abus doit être mis en évidence par la compa- raison entre le loyer principal et le loyer de sous-location, sans référence aux art. 269 et ss CO (ATF 119 II 353 consid. 5; LACHAT, Le bail à loyer, Lausanne, 2008, p. 568). Lorsque le locataire fournit au sous-locataire des prestations sup- plémentaires, par exemple en mettant du mobilier, de la vaisselle, des équipe- ments à disposition de ce dernier, il est autorisé à lui réclamer une rémunération en contrepartie. La majoration justifiée par ces prestations doit être calculée de</w:t>
      </w:r>
    </w:p>
    <w:p>
      <w:r>
        <w:t>- 13/16 -</w:t>
      </w:r>
    </w:p>
    <w:p>
      <w:r>
        <w:t>C/13541/2009 manière concrète, eu égard à la valeur de celles-ci, du coût du mobilier, de son amortissement, d'un intérêt de 5% et d'une prime de risques (LACHAT, op. cit., p. 569 n. 28 et les références citées). Lorsque le loyer de sous-location, en l'ab- sence de prestations supplémentaires, excède de 30 à 40% le loyer principal, il devient abusif. Même la théorie du risque mentionnée ci-dessus ne saurait justifier un tel écart (ATF 119 II 353 consid. 6; LACHAT, op. cit., p. 570). Il l'est en tout cas, même pour un appartement meublé, lorsqu'il approche du triple du montant dû pour le loyer principal (arrêt du Tribunal fédéral 4A.516/2007 du 6 mars 2008, consid. 3.2;). De jurisprudence constante, il y a lieu de retenir que le sous-bailleur peut pré- tendre à une rémunération pour les prestations supplémentaires fournies au sous- locataire, par exemple le mobilier (ATF 119 II 353/356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13.1.1997 consid. 4). Il a également été jugé qu'un loyer de sous-location de 20% supérieur au loyer principal n'était pas abusif (ACJC/249/1992 du 9.10.1992). En revanche, un sous-loyer majoré de 110% par rapport au loyer principal, quand bien même l’appartement était meublé, a été jugé abusif (ACJC/794/2010 du 21 juin 2010, consid. 5.5).</w:t>
      </w:r>
    </w:p>
    <w:p>
      <w:r>
        <w:rPr>
          <w:b/>
        </w:rPr>
        <w:t>E. 5.5</w:t>
      </w:r>
    </w:p>
    <w:p>
      <w:r>
        <w:t>En l'espèce, il n'est à juste titre pas remis en cause par les parties que le sous- loyer a été augmenté de 17,54% par rapport au loyer principal et que le logement a été sous-loué entièrement meublé et équipé. L'appelante soutient que le loyer principal pouvait être majoré de 3% au plus, en se basant sur le taux hypothécaire de référence en vigueur lors de la conclusion du contrat de sous-location, les meubles étant entièrement amortis. Selon la jurisprudence constante du Tribunal fédéral et de la Cour de justice rappelées ci-avant, le locataire qui sous-loue son appartement a droit à une rémunération pour les prestations supplémentaires fournies au sous-locataire. Les intimés ont admis que les meubles et autres objets se trouvant dans le logement n'avaient pas de qualités particulières. Néanmoins, tout comme le bailleur prin- cipal, le sous-bailleur qui remet un appartement en location entièrement meublé est responsable des réparations et d'éventuels changements des meubles endom- magés. Il peut en conséquence prétendre à une rémunération à ce titre. Le sous- bailleur a par ailleurs droit à une prime de risque du seul fait qu'il reste respon- sable du paiement du loyer vis-à-vis du bailleur principal. Dans le présent cas, tant</w:t>
      </w:r>
    </w:p>
    <w:p>
      <w:r>
        <w:t>- 14/16 -</w:t>
      </w:r>
    </w:p>
    <w:p>
      <w:r>
        <w:t>C/13541/2009 des meubles (armoires, lits, tables, chaises, étagères, lampes, coussins, rideaux, literie, etc) que des ustensiles et appareils de cuisine, de la vaisselle et des cou- verts, ainsi qu'une cuisinière, un réfrigérateur, un aspirateur et une machine à laver le linge ont été mis à disposition de la sous-locataire. Par ailleurs, et comme retenu à bon droit par les premiers juges, quand bien même les meubles ont été achetés il y a une vingtaine d'années, ils conservent cependant une valeur d'usage, tant pour la sous-locataire, qui s'épargne ainsi le montant de l'équipement, que pour les intimés, qui encourent un risque sur ce mobilier. Ainsi, les prestations supplémentaires fournies et le risque encouru par les intimés justifient la majoration de loyer litigieuse. Par conséquent, les conditions de la sous-location ne sont pas abusives. L'appelante soutient que les intimés abusent de leur droit, V______ n'ayant aucune intention de réintégrer le logement. V______ réside actuellement à Berne, canton dans lequel elle s'est installée pour exercer une activité lucrative. Elle y paie ses impôts et bénéficie des prestations du chômage. La Cour retient que V______ a conclu avec sa sous-locataire un contrat de durée déterminée, sans clause de renouvellement, venant à échéance le 31 mai 2012. La sous-locataire, entendue en qualité de témoin par le Tribunal des baux et loyers, a indiqué que V______ était partie à Berne, dès lors qu'elle n'avait pas trouvé de travail à Genève, et qu'il était possible qu'elle revienne trois ans après, raison pour laquelle elle avait laissé l'intégralité de son mobilier dans l'appartement. A l'instar des premiers juges, il est également à retenir que V______ n'a pas voulu transférer son bail à la sous-locataire. Aucune autre circonstance du dossier ne permet de retenir que V______ entendrait séjourner définitivement à Berne. Ces éléments mettent ainsi en évidence le besoin légitime et clairement percepti- ble de la locataire quant à son intention de réintégrer les locaux loués. Le fait que V______ recherche un travail dans différents cantons est à cet égard irrelevant, ce d'autant que les personnes bénéficiant d'indemnités de chômage doivent se montrer souples et mobiles dans le cadre de leurs demandes d'emploi. Partant, l'appelante ne disposait d'aucun motif pour s'opposer à la sous-location sollicitée, de sorte que le congé notifié le 4 septembre 2009 pour le 31 octobre 2009 est inefficace.</w:t>
      </w:r>
    </w:p>
    <w:p>
      <w:r>
        <w:rPr>
          <w:b/>
        </w:rPr>
        <w:t>E. 5.6</w:t>
      </w:r>
    </w:p>
    <w:p>
      <w:r>
        <w:t>L'appelante sera dès lors déboutée de ses conclusions et le jugement entrepris confirmé.</w:t>
      </w:r>
    </w:p>
    <w:p>
      <w:r>
        <w:t>- 15/16 -</w:t>
      </w:r>
    </w:p>
    <w:p>
      <w:r>
        <w:t>C/13541/2009</w:t>
      </w:r>
    </w:p>
    <w:p>
      <w:r>
        <w:rPr>
          <w:b/>
        </w:rPr>
        <w:t>E. 6</w:t>
      </w:r>
    </w:p>
    <w:p>
      <w:r>
        <w:t>La procédure est gratuite, de sorte qu'il n'est pas perçu de frais ni alloué de dépens (art. 17 al. 1 LaCC). * * * * *</w:t>
      </w:r>
    </w:p>
    <w:p>
      <w:r>
        <w:t>- 16/16 -</w:t>
      </w:r>
    </w:p>
    <w:p>
      <w:r>
        <w:t>C/13541/2009 PAR CES MOTIFS, La Chambre des baux et loyers : A la forme : Déclare recevable l'appel interjeté le 7 octobre 2011 par LES R______ contre le jugement JTBL/976/2011 rendu le 2 septembre 2011 par le Tribunal des baux et loyers dans la cause C/13541/2009-2-B. Déclare irrecevables les deux pièces nouvelles versées par LES R______. Déclare irrecevables les pièces E à J et M à O déposées par V______ et à F______. Au fond : Confirme ce jugement. Dit que la procédure est gratuite. Déboute les parties de toutes autres conclusions. Siégeant : Madame Nathalie LANDRY-BARTHE, présidente; Monsieur Pierre CURTIN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