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ACJC/874/2025 vom 27. Juni 2025</w:t>
      </w:r>
    </w:p>
    <w:p>
      <w:r>
        <w:t>GE Cour de justice, 2025-06-27, FR</w:t>
      </w:r>
    </w:p>
    <w:p>
      <w:r>
        <w:rPr>
          <w:b/>
        </w:rPr>
        <w:t xml:space="preserve">Quelle: </w:t>
      </w:r>
      <w:r>
        <w:t>https://mcp.opencaselaw.ch/entscheid/ge_gerichte_ACJC_874_2025</w:t>
      </w:r>
    </w:p>
    <w:p>
      <w:r>
        <w:t>FR: GE_GERICHTE ACJC/874/2025 du 27 juin 2025</w:t>
      </w:r>
    </w:p>
    <w:p>
      <w:r>
        <w:t>IT: GE_GERICHTE ACJC/874/2025 del 27 giugno 2025</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 2 CPC). En l'espèce, le recours a été formé en temps utile et selon la forme prescrite par la loi, de sorte qu'il est recevable.</w:t>
      </w:r>
    </w:p>
    <w:p>
      <w:r>
        <w:rPr>
          <w:b/>
        </w:rPr>
        <w:t>E. 1.2</w:t>
      </w:r>
    </w:p>
    <w:p>
      <w:r>
        <w:t>Devant l'autorité de recours, les conclusions, les allégations de faits et les preuves nouvelles sont irrecevables (art. 326 al. 1 CPC). En conséquence, les faits nouveaux et les pièces nouvelles dont la recourante se prévaut devant la Cour sont irrecevables.</w:t>
      </w:r>
    </w:p>
    <w:p>
      <w:r>
        <w:t>- 4/6 -</w:t>
      </w:r>
    </w:p>
    <w:p>
      <w:r>
        <w:t>C/22095/2024</w:t>
      </w:r>
    </w:p>
    <w:p>
      <w:r>
        <w:rPr>
          <w:b/>
        </w:rPr>
        <w:t>E. 1.3</w:t>
      </w:r>
    </w:p>
    <w:p>
      <w:r>
        <w:t>L'autorité de recours a un plein pouvoir d'examen en droit, mais un pouvoir limité à l'arbitraire en fait, n'examinant par ailleurs que les griefs formulés et motivés par la partie recourante (art. 320 CPC; HOHL, Procédure civile, Tome II, 2ème éd., 2010, n. 2307).</w:t>
      </w:r>
    </w:p>
    <w:p>
      <w:r>
        <w:rPr>
          <w:b/>
        </w:rPr>
        <w:t>E. 1.4</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La recourante fait grief au Tribunal d'avoir retenu que les pièces produites ne valaient pas titre de mainlevée provisoire au sens de l'art. 82 al. 1 LP.</w:t>
      </w:r>
    </w:p>
    <w:p>
      <w:r>
        <w:t>2.1.1 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2.1.2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Le juge de la mainlevée doit vérifier d'office l'existence matérielle d'une reconnaissance de dette (ATF 142 III 720 consid. 4.1; 139 III 444 consid. 4.1.1; arrêts du Tribunal fédéral 5A_940/2020 du 27 janvier 2021 consid. 3.1). Pour que la mainlevée provisoire soit prononcée, il faut que le poursuivant soit au bénéfice d'une reconnaissance de dette qui, outre les caractéristiques relatives à l'obligation de payer du débiteur (cf. infra consid. 2.1.3), réunisse les trois identités, soit l'identité entre le poursuivant et le créancier désigné dans ce titre, l'identité entre le poursuivi et le débiteur désigné, et l'identité entre la prétention déduite en poursuite et le titre qui lui est présenté (ATF 143 III 221 consid. 4; 142 III 720 consid. 4.1; 139 III 444 consid. 4.1.1). Le créancier doit être aisément déterminable au moment de l'élaboration de la reconnaissance de dette, son identité devant ainsi figurer sur le titre. En outre, l'auteur de la reconnaissance de dette doit être identique au poursuivi désigné sur le commandement de payer; il suffit pour cela qu'il ait signé la reconnaissance de dette. Enfin, la prétention figurant sur le commandement de payer doit être identique à la prétention figurant sur le titre (ABBET/VEUILLET, La mainlevée de l'opposition, 2022 n. 74, 81 et 92 ad art. 82 LP et les réf. citées). 2.1.3 Constitue une reconnaissance de dette au sens de l'art. 82 al. 1 LP, en particulier, l'acte sous seing privé, signé par le poursuivi, d'où ressort sa volonté de payer au poursuivant, sans réserve ni condition, une somme d'argent déterminée, ou</w:t>
      </w:r>
    </w:p>
    <w:p>
      <w:r>
        <w:t>- 5/6 -</w:t>
      </w:r>
    </w:p>
    <w:p>
      <w:r>
        <w:t>C/22095/2024 aisément déterminable, et exigible (ATF 145 III 20 consid. 4.1.1; 139 III 297 consid. 2.3.1). Cette volonté doit résulter clairement des pièces produites et non d'actes concluants. A défaut, elle ne peut être déterminée que par le juge du fond et la mainlevée doit être refusée. Cela étant, il n'est pas nécessaire que le titre contienne une promesse de payer la dette; il suffit qu'il atteste du fait que le poursuivi se considère obligé de payer cette dette. Il en va ainsi de la lettre par laquelle le débiteur sollicite la remise de tout ou partie de sa dette ou un délai de paiement sans contester la dette elle- même (ABBET/VEUILLET, op. cit., n. 36 et 37 ad art. 82 LP et les réf. citées).</w:t>
      </w:r>
    </w:p>
    <w:p>
      <w:r>
        <w:rPr>
          <w:b/>
        </w:rPr>
        <w:t>E. 2.2</w:t>
      </w:r>
    </w:p>
    <w:p>
      <w:r>
        <w:t>En l'espèce, c'est à bon droit que le Tribunal a rejeté la requête de mainlevée. Il est en effet constant que la poursuite n° 1______ est dirigée contre C______ SARL, société dont l'intimé est l'associé-gérant, et non contre l'intimé lui- même. Il est également constant que la requête de mainlevée est dirigée contre l'intimé et non contre la société poursuivie. Or, si la recourante entendait obtenir la mainlevée de l'opposition formée à cette poursuite, il lui incombait d'assigner la débitrice poursuivie (i.e. C______ SARL) et non une tierce personne qui ne fait pas l'objet de la poursuite litigieuse (i.e. l'intimé). Au surplus, le recourante ne se prévaut d'aucun acte sous seing privé signé par la société poursuivie, d'où ressortirait sa volonté de lui payer, sans réserve ni condition, une somme d'argent déterminée, ou aisément déterminable, et échue. Au contraire, dans son courrier du 26 août 2024, C______ SARL a expressément contesté devoir de l'argent à la recourante. C'est ainsi avec raison que le Tribunal a refusé de prononcer la mainlevée provisoire de l'opposition formée à la poursuite n° 1______. Le recours, infondé, sera rejeté.</w:t>
      </w:r>
    </w:p>
    <w:p>
      <w:r>
        <w:rPr>
          <w:b/>
        </w:rPr>
        <w:t>E. 3</w:t>
      </w:r>
    </w:p>
    <w:p>
      <w:r>
        <w:t>Les frais judiciaires de recours, arrêtés à 300 fr. (art. 48 et 61 OELP), seront mis à la charge de la recourante, qui succombe, 106 al. 1 CPC), et compensés avec l'avance versée, acquise à l'Etat de Genève (art. 111 al. 1 CPC).</w:t>
      </w:r>
    </w:p>
    <w:p>
      <w:r>
        <w:t>Il ne sera pas alloué de dépens de recours à l'intimé qui plaide en personne et n'a pas effectué de démarches justifiant leur allocation (art. 95 al. 3 let. c CPC).</w:t>
      </w:r>
    </w:p>
    <w:p>
      <w:r>
        <w:t>* * * * *</w:t>
      </w:r>
    </w:p>
    <w:p>
      <w:r>
        <w:t>- 6/6 -</w:t>
      </w:r>
    </w:p>
    <w:p>
      <w:r>
        <w:t>C/22095/2024 PAR CES MOTIFS, La Chambre civile : A la forme : Déclare recevable le recours interjeté le 7 mars 2025 par A______ contre le jugement JTPI/2431/2025 rendu le 31 janvier 2025 par le Tribunal de première instance dans la cause C/22095/2024-8 SML. Au fond : Rejette ce recours. Déboute les parties de toutes autres conclusions. Sur les frais : Arrête les frais judicaires de recours à 300 fr., les met à la charge de A______ et les compense avec l'avance fournie, qui reste acquise à l'Etat de Genève. Dit qu'il n'est pas alloué de dépens de recours. Siégeant : Monsieur Laurent RIEBEN, président; Madame Fabienne GEISINGER-MARIETHOZ, Madame Nathalie RAPP, juges; Madame Marie-Pierre GROSJEAN, greffière.</w:t>
      </w:r>
    </w:p>
    <w:p>
      <w:r>
        <w:t>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