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ACJC/874/2023 vom 29. Juni 2023</w:t>
      </w:r>
    </w:p>
    <w:p>
      <w:r>
        <w:t>GE Cour de justice, 2023-06-29, FR</w:t>
      </w:r>
    </w:p>
    <w:p>
      <w:r>
        <w:rPr>
          <w:b/>
        </w:rPr>
        <w:t xml:space="preserve">Quelle: </w:t>
      </w:r>
      <w:r>
        <w:t>https://mcp.opencaselaw.ch/entscheid/ge_gerichte_ACJC_874_2023</w:t>
      </w:r>
    </w:p>
    <w:p>
      <w:r>
        <w:t>FR: GE_GERICHTE ACJC/874/2023 du 29 juin 2023</w:t>
      </w:r>
    </w:p>
    <w:p>
      <w:r>
        <w:t>IT: GE_GERICHTE ACJC/874/2023 del 29 giugno 2023</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(art. 308 CPC). En l'espèce, le litige porte sur une question patrimoniale, soit la contribution d'entretien de l’épouse. Compte tenu des conclusions financières prises par l'appelante au dernier état des conclusions devant le premier juge, la valeur litigieuse est supérieure à 10'000 fr., de sorte que la voie de l'appel est ouverte.</w:t>
      </w:r>
    </w:p>
    <w:p>
      <w:r>
        <w:rPr>
          <w:b/>
        </w:rPr>
        <w:t>E. 1.2</w:t>
      </w:r>
    </w:p>
    <w:p>
      <w:r>
        <w:t>Interjeté dans les 30 jours suivant la notification de la décision entreprise et dans la forme prescrite par la loi (art. 130 al. 1, 131 et 311 al. 1 CPC), l'appel est recevable de ces points de vue. 1.3.1 La Cour revoit la cause en fait et en droit avec un plein pouvoir d'examen (art. 310 CPC). Elle applique le droit d'office (art. 57 CPC). Cela étant, elle le fait uniquement, en vertu de l'art. 311 al. 1 CPC, sur les points du jugement que</w:t>
      </w:r>
    </w:p>
    <w:p>
      <w:r>
        <w:t>- 6/13 -</w:t>
      </w:r>
    </w:p>
    <w:p>
      <w:r>
        <w:t>C/14186/2020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La maxime de disposition (art. 58 al. 1 CPC) et la maxime des débats atténuée (art. 55 al. 1, 277 al. 1 et 2 CPC) s’appliquent à la procédure concernant les contributions d’entretien post-divorce. 1.3.2 L'intimé soutient, dans un premier grief, que la présentation par l'appelante de quarante-deux allégués en appel ne satisfait pas aux exigences de motivation, faute de formuler un grief d'établissement arbitraire des faits. Bien que présentées dans une partie en fait sous forme d'allégués, et non pas comme un grief d'établissement inexact des faits – ce qu'elles sont en réalité – les critiques soulevées par l'appelante sont compréhensibles et présentées clairement. Aussi, elles sont en principe recevables, étant précisé qu'il sied de ne pas se montrer trop formaliste au vu de la maxime de débat atténué qui s'applique à la présente procédure. Elles sont cependant sans portée sur le résultat de la présente procédure.</w:t>
      </w:r>
    </w:p>
    <w:p>
      <w:r>
        <w:rPr>
          <w:b/>
        </w:rPr>
        <w:t>E. 2</w:t>
      </w:r>
    </w:p>
    <w:p>
      <w:r>
        <w:t>L'intimé conclut à ce que les faits contenus dans les allégués complémentaires 47 et 51 de la réplique de l'appelante soient déclarés irrecevables.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 La procédure d'appel ne sert pas à compléter la procédure devant l'instance précédente, mais à examiner et corriger la décision de première instance au regard des critiques concrètes formulées à son encontre (ATF 142 III 413 consid. 2.2.2).</w:t>
      </w:r>
    </w:p>
    <w:p>
      <w:r>
        <w:t>- 7/13 -</w:t>
      </w:r>
    </w:p>
    <w:p>
      <w:r>
        <w:t>C/14186/2020</w:t>
      </w:r>
    </w:p>
    <w:p>
      <w:r>
        <w:rPr>
          <w:b/>
        </w:rPr>
        <w:t>E. 2.2</w:t>
      </w:r>
    </w:p>
    <w:p>
      <w:r>
        <w:t>En l'espèce, sous l'allégué 47, l'appelante indique suivre des séances de thérapie par Skype, et sous l'allégué 51, elle prétend que l'expertise de la résidence secondaire que l'intimé a produite est lacunaire. Elle soutient qu'elle était en droit d'alléguer ces faits "nouveaux" dès lors qu'ils constitueraient une contre-preuve aux arguments développés par l'intimé dans sa réponse. La question de savoir si tel est effectivement le cas peut souffrir de demeurer indécise, au vu du sort du présent litige (voir consid. 3 infra).</w:t>
      </w:r>
    </w:p>
    <w:p>
      <w:r>
        <w:rPr>
          <w:b/>
        </w:rPr>
        <w:t>E. 3</w:t>
      </w:r>
    </w:p>
    <w:p>
      <w:r>
        <w:t>L'appelante reproche au Tribunal de lui avoir imputé un revenu hypothétique à hauteur de 50%, alors qu'elle serait totalement incapable de travailler en raison de son état de santé. Elle soutient qu'il lui serait au demeurant impossible de retrouver un travail en raison notamment de son éloignement géographique, de son âge, du fait que ses diplômes ne sont pas reconnus en Suisse et que ses expériences professionnelles sont trop anciennes. Le Tribunal aurait par ailleurs retenu qu'elle pouvait réaliser un revenu d'au moins 1'717 fr. à temps partiel, sans préciser le taux d'occupation, ni le domaine d'activité. Elle formule en outre diverses critiques sur les charges des parties, telles qu'établies par le Tribunal, en particulier l'absence de prise en considération de ses frais médicaux non remboursés.</w:t>
      </w:r>
    </w:p>
    <w:p>
      <w:r>
        <w:t>L'intimé soutient quant à lui que c'est à bon droit que le Tribunal a imputé à l'appelante un revenu hypothétique de 3'034 fr. 45 (correspondant au prorata du dernier salaire qu'elle percevait), celle-ci étant capable de travailler à 50%. Elle aurait par ailleurs droit à des mesures de reclassement ou de réadaptation offerte par l'assurance-invalidité. Quant à son lieu de vie en France, elle l'avait librement choisi et ne pouvait s'en prévaloir pour refuser de travailler en Suisse. Elle pourrait par ailleurs réaliser un revenu en sous-louant une partie de la maison qu'elle occupe. 3.1.1 Aux termes de l'art. 311 al. 1 CPC, la motivation constitue une condition de recevabilité de l'appel prévue par la loi, qui doit être examinée d'office (ATF 138 III 374 consid. 4.3.1). Lorsque la partie appelante ne satisfait pas à l'exigence susmentionnée le tribunal supérieur n'entre pas en matière sur l'appel (arrêts du Tribunal fédéral 5A_209/2014 du 2 septembre 2014 consid. 4.2.1; 4A_659/2011 précité, ibidem). Selon la jurisprudence fédérale constante, si une décision comporte plusieurs motivations indépendantes, alternatives ou subsidiaires, et chacune suffisante pour sceller le sort de la cause, il incombe à l'appelant, sous peine d'irrecevabilité, de démontrer que chacune d'entre elles est contraire au droit (ATF 138 III 728 consid. 3.4; 138 I 97 consid. 4.1.4; 136 III 534 consid. 2; 133 IV 119 consid. 6.3; arrêts du Tribunal fédéral 5A_1017/2015 du 23 mars 2016 consid. 2.2; 4A_310/2012 du 1er octobre 2012 consid. 2.1; 2C_469/2012 du 22 mai 2012</w:t>
      </w:r>
    </w:p>
    <w:p>
      <w:r>
        <w:t>- 8/13 -</w:t>
      </w:r>
    </w:p>
    <w:p>
      <w:r>
        <w:t>C/14186/2020 consid. 4; pour un cas d'application sous l'empire du CPC par une autorité cantonale: arrêt du Tribunal fédéral 4A_525/2014 du 5 mai 2015 consid. 3).</w:t>
      </w:r>
    </w:p>
    <w:p>
      <w:r>
        <w:t>L'appelant n'a en effet pas d'intérêt à faire examiner ses griefs dûment motivés, alors que la décision attaquée conserve toute son assise en raison d'une autre argumentation qu'il ne conteste pas (arrêt du Tribunal fédéral 4A_113/2018 du 12 juin 2018 consid. 3.4). 3.1.2 Selon la jurisprudence, la partie qui conteste un jugement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p. 375). Même si l'instance d'appel applique le droit d'office (art. 57 CPC), le procès se présente différemment en seconde instance, vu la décision déjà rendue. L'appelante doit donc tenter de démontrer que sa thèse l'emporte sur celle de la décision attaquée. Elle ne saurait se borner à simplement reprendre des allégués de fait ou des arguments de droit présentés en première instance, mais elle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En d'autres termes, si ces conditions ne sont pas remplies, l'appel est irrecevable (arrêt du Tribunal fédéral 5A_577/2020 précité, consid. 5). La jurisprudence admet qu'on fasse preuve de souplesse en fonction des qualifications du plaideur qui appellerait sans l'aide d'un avocat. En tout état de cause, l'instance supérieure doit pouvoir comprendre ce qui est reproché au premier juge sans avoir à rechercher des griefs par elle-même, ce qui exige une certaine précision quant à l'énoncé et à la discussion des griefs (JEANDIN, Commentaire romand, Code de procédure civile, 2019, n. 3a ad art. 311 CPC). 3.1.3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- 9/13 -</w:t>
      </w:r>
    </w:p>
    <w:p>
      <w:r>
        <w:t>C/14186/2020 l'obligation d'entretien doit être fixée en tenant compte des éléments énumérés de façon non exhaustive à l'art. 125 al. 2 CC (ATF 138 III 289 consid. 11.1.2; 137 III 102 consid. 4.1.1; 132 III 598 consid. 9.1).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 du Tribunal fédéral 5A_510/2021 précité, ibidem et les arrêts cités).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ibidem et les arrêts cités).</w:t>
      </w:r>
    </w:p>
    <w:p>
      <w:r>
        <w:t>Un mariage ayant influencé la situation financière d'un conjoint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5A_1008/2017 du 7 mars 2018, consid. 4.2.2; 5A_800/2016 du 18 août 2017 consid. 6.3; 5A_128/2016 du 22 août 2016 consid. 5.1.3.2 et les références).</w:t>
      </w:r>
    </w:p>
    <w:p>
      <w:r>
        <w:t>- 10/13 -</w:t>
      </w:r>
    </w:p>
    <w:p>
      <w:r>
        <w:t>C/14186/2020 3.1.4 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consid. 5.2, 249 consid. 3.4.4; 141 III 465 consid. 3.1; arrêts du Tribunal fédéral 5A_510/2021 précité, consid. 3.2.3; 5A_191/2021 du 22 février 2022 consid. 5.1.1).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et la référence; arrêt du Tribunal fédéral 5A_510/2021 précité, ibidem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5A_510/2021 précité, ibidem et les arrêts cités).</w:t>
      </w:r>
    </w:p>
    <w:p>
      <w:r>
        <w:rPr>
          <w:b/>
        </w:rPr>
        <w:t>E. 3.2</w:t>
      </w:r>
    </w:p>
    <w:p>
      <w:r>
        <w:t>En l'espèce, le Tribunal a débouté l'appelante de ses prétentions en fixation d'une contribution à son entretien, dans un double raisonnement. En premier lieu, il a retenu que le mariage n'était pas lebensprägend. Il a considéré que la situation déficitaire dans laquelle se trouvait l'appelante ne résultait pas des conséquences négatives du mariage, lequel n'avait pas eu un impact décisif et concret sur sa capacité et ses perspectives, puisqu'elle avait travaillé durant quasiment toute la vie commune, mais de ses problèmes de santé survenus au moment de la séparation. En second lieu, il a estimé que, même à supposer que le mariage soit lebensprägend, l'appelante ne pouvait prétendre à une contribution d'entretien car un revenu hypothétique pouvait lui être imputé à hauteur de son déficit au moins.</w:t>
      </w:r>
    </w:p>
    <w:p>
      <w:r>
        <w:t>La motivation du Tribunal relative au revenu hypothétique de l'appelante est donc subsidiaire à celle de l'examen du caractère lebensprägend du mariage, ce qui est</w:t>
      </w:r>
    </w:p>
    <w:p>
      <w:r>
        <w:t>- 11/13 -</w:t>
      </w:r>
    </w:p>
    <w:p>
      <w:r>
        <w:t>C/14186/2020 correct. En effet, ainsi qu'il ressort de la jurisprudence du Tribunal fédéral citée supra, la fixation d'une contribution d'entretien suppose que le mariage soit lebensprägend. A défaut, il n'y a pas lieu de fixer une contribution d'entretien, de sorte que la question de la fixation d'un éventuel revenu hypothétique ne se pose, dans cette hypothèse, pas.</w:t>
      </w:r>
    </w:p>
    <w:p>
      <w:r>
        <w:t>En l'espèce, le fait que le Tribunal ait retenu, sans être critiqué, que le mariage n'était pas lebensprägend suffit à sceller le sort du litige, indépendamment de la fixation critiquée par l'appelante d'un revenu hypothétique.</w:t>
      </w:r>
    </w:p>
    <w:p>
      <w:r>
        <w:t>En effet, l'appelante ne reproche pas au Tribunal d'avoir retenu que le mariage n'était pas lebensprägend. Elle ne s'attaque pas à la motivation du jugement sur cette question, lequel a retenu que l'appelante avait travaillé pendant quasiment toute la durée du mariage, célébré en 1993, dans divers domaines, et en dernier lieu comme huissière depuis 2010 jusqu'à son arrêt de travail en 2017, générant à ce titre un revenu net de 4'855 fr. par mois. Elle ne s'attaque pas plus au raisonnement du Tribunal qui a retenu que le déficit de sa situation financière actuelle ne résultait pas des conséquences du mariage contracté et rompu, mais de son incapacité partielle de travail intervenue ultérieurement, de sorte que ce déficit n'était pas de ceux qu'une contribution d'entretien avait vocation à combler. S'agissant de l'impact du mariage, elle reprend seulement son exposé de première instance et indique que "[d]urant la vie de couple, elle n'a pas travaillé durant sept ans, le couple ayant adopté le système traditionnel. Ainsi, A______ ne s'est pas formée. Preuve en est, lorsqu'elle a repris une activité lucrative – à temps partiel uniquement – [sic]. Par ailleurs, ses diplômes de [sic] sont pas reconnus en Suisse", concluant plus loin qu'"aucun revenu hypothétique de [sic] peut lui être imputé". A supposer que ce passage dût être interprété comme une critique du fait que le Tribunal ait retenu que le mariage n'était pas lebensprägend – ce qui apparaît douteux – il ne constitue en tout état pas une motivation suffisante eu égard aux exigences en la matière, d'autant plus que l'appelante était représentée par un avocat.</w:t>
      </w:r>
    </w:p>
    <w:p>
      <w:r>
        <w:t>Aussi, la Cour ne peut revenir sur le jugement querellé en tant qu'il retient que le mariage n'était pas lebensprägend, faute de grief suffisamment motivé sur ce point. En conséquence, il n'y a pas lieu de se pencher sur les critiques de l'appelante qui portent exclusivement sur les éléments du calcul de la contribution d'entretien (revenu hypothétique et montant des charges).</w:t>
      </w:r>
    </w:p>
    <w:p>
      <w:r>
        <w:t>En effet, en application de la jurisprudence mentionnée supra, faute d'avoir contesté chacune des motivations indépendantes du Tribunal, chacune suffisante pour sceller le sort de la cause, dont la question du caractère lebensprägend était l'élément central - unique dans le premier raisonnement et préalable dans le second - le grief de l'appelante, qui s'attaque uniquement à la question de la</w:t>
      </w:r>
    </w:p>
    <w:p>
      <w:r>
        <w:t>- 12/13 -</w:t>
      </w:r>
    </w:p>
    <w:p>
      <w:r>
        <w:t>C/14186/2020 fixation d'un revenu hypothétique la concernant, pour requérir une contribution d'entretien en sa faveur, est irrecevable.</w:t>
      </w:r>
    </w:p>
    <w:p>
      <w:r>
        <w:t>L'appelante n'ayant formulé de conclusions qu'à l'encontre du prononcé du jugement rejetant sa demande de fixation d'une contribution à son entretien, l'appel doit être déclaré intégralement irrecevable.</w:t>
      </w:r>
    </w:p>
    <w:p>
      <w:r>
        <w:rPr>
          <w:b/>
        </w:rPr>
        <w:t>E. 4.1</w:t>
      </w:r>
    </w:p>
    <w:p>
      <w:r>
        <w:t>Les frais - qui comprennent les frais judiciaires et les dépens (art. 95 al. 1 CPC) - sont mis à la charge de la partie qui succombe (art. 106 al. 1 1ère phrase CPC). La Cour peut cependant s'écarter des règles générales et répartir les frais selon sa libre appréciation, notamment lorsque le litige relève du droit de la famille (art. 107 al. 1 let. c CPC).</w:t>
      </w:r>
    </w:p>
    <w:p>
      <w:r>
        <w:rPr>
          <w:b/>
        </w:rPr>
        <w:t>E. 4.2</w:t>
      </w:r>
    </w:p>
    <w:p>
      <w:r>
        <w:t>En l'espèce, les frais de la procédure d'appel seront arrêtés à 2'000 fr. (art. 30 et 35 RTFMC) et seront mis à la charge des parties par moitié chacune, compte tenu de la nature familiale du litige (art. 106 al. 2 et 107 al. 1 let. c CPC). Dès lors que l'appelante plaide au bénéfice de l'assistance judiciaire (art. 122 al. 2 CPC), aucune avance de frais n'a été versée. La part des frais à sa charge, de 1'000 fr., sera provisoirement laissée à la charge de l'Etat de Genève, qui pourra en demander le remboursement ultérieurement (art. 123 CPC). L'intimé, quant à lui, sera condamné à verser à l'Etat de Genève, soit aux Services financiers du pouvoir judiciaire, un montant de 1'000 fr. Au vu de la nature du litige, il ne sera pas alloué de dépens d'appel (art. 107 al. 1 let. c CPC). * * * * *</w:t>
      </w:r>
    </w:p>
    <w:p>
      <w:r>
        <w:t>- 13/13 -</w:t>
      </w:r>
    </w:p>
    <w:p>
      <w:r>
        <w:t>C/14186/2020 PAR CES MOTIFS, La Chambre civile : A la forme : Déclare irrecevable l'appel interjeté le 24 août 2022 par A______ contre le jugement JTPI/7613/2022 rendu le 23 juin 2022 par le Tribunal de première instance dans la cause C/14186/2020. Sur les frais : Arrête les frais de la procédure d'appel à 2'000 fr et les met par moitié à charge de A______ et B______. Condamne B______ à verser 1'000 fr. à l'Etat de Genève, soit pour lui les Services financiers du Pouvoir judiciaire. Laisse provisoirement la part de frais de A______ à charge de l'Etat de Genève, qui pourra en demander le remboursement ultérieurement. Dit qu'il n'est pas alloué de dépens.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