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ACJC/873/2023 vom 27. Juni 2023</w:t>
      </w:r>
    </w:p>
    <w:p>
      <w:r>
        <w:t>GE Cour de justice, 2023-06-27, FR</w:t>
      </w:r>
    </w:p>
    <w:p>
      <w:r>
        <w:rPr>
          <w:b/>
        </w:rPr>
        <w:t xml:space="preserve">Quelle: </w:t>
      </w:r>
      <w:r>
        <w:t>https://mcp.opencaselaw.ch/entscheid/ge_gerichte_ACJC_873_2023</w:t>
      </w:r>
    </w:p>
    <w:p>
      <w:r>
        <w:t>FR: GE_GERICHTE ACJC/873/2023 du 27 juin 2023</w:t>
      </w:r>
    </w:p>
    <w:p>
      <w:r>
        <w:t>IT: GE_GERICHTE ACJC/873/2023 del 27 giugno 2023</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de première instance, est supérieure à 10'000 fr. (art. 308 al. 2 CPC).</w:t>
      </w:r>
    </w:p>
    <w:p>
      <w:r>
        <w:t>En l'espèce, seule est discutée la question du partage de la prévoyance professionnelle, en complément du jugement de divorce prononcé en France entre les parties, de sorte qu'il s'agit d'une affaire pécuniaire. Compte tenu des montants</w:t>
      </w:r>
    </w:p>
    <w:p>
      <w:r>
        <w:t>- 8/14 -</w:t>
      </w:r>
    </w:p>
    <w:p>
      <w:r>
        <w:t>C/4995/2020 restés litigieux devant le premier juge, la valeur litigieuse est supérieure à 10'000 fr. de sorte que la voie de l'appel est ouverte.</w:t>
      </w:r>
    </w:p>
    <w:p>
      <w:r>
        <w:rPr>
          <w:b/>
        </w:rPr>
        <w:t>E. 1.2</w:t>
      </w:r>
    </w:p>
    <w:p>
      <w:r>
        <w:t>Déposé dans le délai utile et selon la forme prescrite par la loi (art. 130 al. 1, 131, 142 al. 1 et 3 et 311 al. 1 CPC), l'appel est recevable.</w:t>
      </w:r>
    </w:p>
    <w:p>
      <w:r>
        <w:rPr>
          <w:b/>
        </w:rPr>
        <w:t>E. 1.3</w:t>
      </w:r>
    </w:p>
    <w:p>
      <w:r>
        <w:t>La maxime d'office et la maxime inquisitoire ne s'imposent que devant le premier juge concernant les questions qui touchent à la prévoyance professionnelle (arrêts du Tribunal fédéral 5A_18/2018 du 16 mars 2018 consid. 6 et 5A_862/2012 du 30 mai 2013 consid. 5.3.2 et 5.3.3 et les réf. cit.). En seconde instance, les maximes des débats et de disposition ainsi que l'interdiction de la reformatio in pejus sont applicables (ATF 129 III 481 consid. 3.3; arrêts du Tribunal fédéral 5A_392/2021 du 20 juillet 2021 consid. 3.4.1.1; 5A_478/2016 du 10 mars 2017 consid. 10.1).</w:t>
      </w:r>
    </w:p>
    <w:p>
      <w:r>
        <w:rPr>
          <w:b/>
        </w:rPr>
        <w:t>E. 1.4</w:t>
      </w:r>
    </w:p>
    <w:p>
      <w:r>
        <w:t>La cause présente un élément d'extranéité compte tenu de la nationalité française et du domicile en France des parties.</w:t>
      </w:r>
    </w:p>
    <w:p>
      <w:r>
        <w:t>Dans son arrêt de renvoi du 25 janvier 2022, la Cour a admis la compétence du Tribunal suisse pour statuer sur le partage des avoirs de prévoyance professionnelle accumulés par les parties pendant le mariage, de sorte qu'il ne sera pas revenu sur cette question.</w:t>
      </w:r>
    </w:p>
    <w:p>
      <w:r>
        <w:rPr>
          <w:b/>
        </w:rPr>
        <w:t>E. 1.5</w:t>
      </w:r>
    </w:p>
    <w:p>
      <w:r>
        <w:t>L'appel peut être formé pour violation du droit et constatation inexacte des faits (art. 310 CPC).</w:t>
      </w:r>
    </w:p>
    <w:p>
      <w:r>
        <w:rPr>
          <w:b/>
        </w:rPr>
        <w:t>E. 2</w:t>
      </w:r>
    </w:p>
    <w:p>
      <w:r>
        <w:t>L'intimé a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et moyens de preuve nouveaux doivent être invoqués « sans retard », donc en principe dans le mémoire d'appel ou dans la réponse (ATF 142 III 413 consid. 2.2.4).</w:t>
      </w:r>
    </w:p>
    <w:p>
      <w:r>
        <w:t>Il faut distinguer les vrais nova des faux nova. 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 (arrêt du Tribunal fédéral 5A_621/2012 du 20 mars 2013 consid. 5.1).</w:t>
      </w:r>
    </w:p>
    <w:p>
      <w:r>
        <w:t>- 9/14 -</w:t>
      </w:r>
    </w:p>
    <w:p>
      <w:r>
        <w:t>C/4995/2020 Cela étant,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(arrêts du Tribunal fédéral 5A_24/2017 du 15 mai 2017 consid. 4.3; 5A_321/2016 du 25 octobre 2016 consid. 3.1; 5A_86/2016 du 5 septembre 2016 consid. 2.1).</w:t>
      </w:r>
    </w:p>
    <w:p>
      <w:r>
        <w:t>A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JdT 2017 II p. 153; arrêts du Tribunal fédéral 5A_478/2016 du 10 mars 2017 consid. 4.2.2; 5A_456/2016 du 28 octobre 2016 consid. 4.1.2).</w:t>
      </w:r>
    </w:p>
    <w:p>
      <w:r>
        <w:rPr>
          <w:b/>
        </w:rPr>
        <w:t>E. 2.2</w:t>
      </w:r>
    </w:p>
    <w:p>
      <w:r>
        <w:t>En l'espèce, l'intimé a produit des pièces nouvelles à l'appui de sa réplique. Les pièces 108, 110, 111 et 112 étant toutes antérieures à la date de clôture des débats principaux, sans que l'appelant expose les raisons pour lesquelles il ne les a pas produites à temps devant le premier juge, elles seront déclarées irrecevables, ainsi que les faits auxquelles elles se rapportent. La pièce 109, soit l'acte de vente du 3 juin 2022, est quant à elle postérieure à la date à laquelle le jugement a été rendu. Elle aurait cependant dû être produite dans le cadre du mémoire d'appel du 12 septembre 2022, l'appelant disposant à cette date de ce document, de sorte qu'elle sera également déclarée irrecevable, car produite tardivement, ainsi que les faits auxquels elle se rapporte.</w:t>
      </w:r>
    </w:p>
    <w:p>
      <w:r>
        <w:rPr>
          <w:b/>
        </w:rPr>
        <w:t>E. 3</w:t>
      </w:r>
    </w:p>
    <w:p>
      <w:r>
        <w:t>L'appelant reproche au Tribunal d'avoir à tort ordonné le partage par moitié de ses avoirs de prévoyance professionnelle, solution qui serait inéquitable au vu de la situation financière globale des parties.</w:t>
      </w:r>
    </w:p>
    <w:p>
      <w:r>
        <w:t>3.1.2 Aux termes de l'art. 122 CC, les prétentions de prévoyance professionnelle acquises durant le mariage et jusqu'à l'introduction de la procédure de divorce sont partagées entre les époux.</w:t>
      </w:r>
    </w:p>
    <w:p>
      <w:r>
        <w:t>Les prestations de sortie acquises sont partagées par moitié (art. 123 al. 1 CC).</w:t>
      </w:r>
    </w:p>
    <w:p>
      <w:r>
        <w:t>3.1.3 Pour une action en complément de jugement de divorce étranger déposée après le 1er janvier 2017, les dates pertinentes pour déterminer les avoirs de prévoyance professionnelle à partager sont d'une part la date du mariage et d'autre part la date de l'introduction de l'action en divorce à l'étranger et non celle de l'action en complément du jugement de divorce en Suisse 8ACJC/200/2019 du</w:t>
      </w:r>
    </w:p>
    <w:p>
      <w:r>
        <w:rPr>
          <w:b/>
        </w:rPr>
        <w:t>E. 3.2</w:t>
      </w:r>
    </w:p>
    <w:p>
      <w:r>
        <w:t>En l'espèce, le Tribunal a relevé que le jugement de divorce français avait alloué à l'intimée une prestation compensatoire de 180'000 euros, compte tenu de la disparité existante dans les conditions de vie des époux, en retenant que l'état de santé de la concernée ne lui permettait pas de travailler, mais qu'elle disposait néanmoins de revenus fonciers et mobiliers lui permettant de subvenir à ses besoins, de sorte qu'il a rejeté sa demande de rente viagère. Au titre des droits à la retraite, sa pension était évaluée à 54,25 euros par mois, n'ayant pas travaillé après la naissance des enfants et ayant cessé toute activité lucrative depuis 1999, ce qui résultait d'un choix des époux. L'appelant, quant à lui, disposait d'un second pilier d'un montant de 338'692 fr. au 31 octobre 2013, ses droits à pension au titre du premier pilier n'étant pas connus. Ceci n'est pas contesté par l'appelant.</w:t>
      </w:r>
    </w:p>
    <w:p>
      <w:r>
        <w:t>Le Tribunal a considéré qu'il ressortait de l'instruction du dossier que l'intimée avait hérité, puis vendu, pendant le mariage et après le divorce, des biens immobiliers pour un montant net, créances envers l'appelant et récompenses envers la communauté et en sa faveur dans le cadre de la liquidation du régime matrimonial en cours, de 517'900 euros, auquel se rajoute le montant de 180'000 euros, perçu à titre de prestation compensatoire, soit une fortune d'environ 700'000 euros. L'appelant possédait, quant à lui, en biens propres un héritage de FF 194'000, soit 29'575 euros, ainsi que l'ancienne maison familiale acquise avant le mariage, estimée à 295'000 euros, et pour laquelle il doit à la communauté, dans le cadre du régime matrimonial, une récompense d'une montant de 251'000 euros, soit une fortune nette en biens propres de 73'575 euros. La différence entre les situations économiques des conjoints ne permettait cependant pas à elle seule de déroger au principe du partage par moitié de la prestation de sortie de l'appelant, dès lors que ce qui était relevant était d'éviter que le partage produise une situation d'iniquité. Or en l'espèce, la pension de</w:t>
      </w:r>
    </w:p>
    <w:p>
      <w:r>
        <w:t>- 12/14 -</w:t>
      </w:r>
    </w:p>
    <w:p>
      <w:r>
        <w:t>C/4995/2020 retraite de B______ étant évaluée à 54,25 euros par mois, tandis que l'intimé disposait d'un second pilier de 338'692 fr. par mois. L'intimée devait ainsi pouvoir prétendre tant à la prestation compensatoire qu'au partage par moitié du deuxième pilier, de sorte que la prestation compensatoire ne devait pas être déduite du partage des avoirs de prévoyance professionnelle et ne constituait pas non plus un juste motif de réduction au sens de l'art. 124b CC.</w:t>
      </w:r>
    </w:p>
    <w:p>
      <w:r>
        <w:t>L'appelant considère que cette disparité dans le patrimoine des ex-époux aurait dû conduire le premier juge à n'allouer aucun montant à l'intimée des avoirs qu'il a accumulés pendant le mariage. Il soutient que le juge français a tenu compte desdits avoirs, dans la fixation de la prestation compensatoire qu'il a fixée. Comme relevé dans son arrêt de renvoi, la Cour a d'ores et déjà indiqué que le fait que le Tribunal de Grande Instance de C______ (France) ait, par hypothèse - car sans le mentionner de manière explicite dans les considérants de son jugement - pris en compte le deuxième pilier accumulé par l'intimé durant le mariage pour déterminer le montant de la prestation compensatoire octroyée à l'appelante n'est pas pertinent. L'appelant n'apporte pas plus d'éléments à ce sujet dans son appel.</w:t>
      </w:r>
    </w:p>
    <w:p>
      <w:r>
        <w:t>S'agissant de la disparité des patrimoines des ex-époux, le Tribunal fédéral a clairement indiqué, comme relevé supra, qu'elle ne suffisait pas à empêcher le partage du second pilier. Il faut encore que ce partage conduise à une situation d'iniquité, pour s'écarter de la règle du partage par moitié. Or, en l'espèce, l'appelant n'expose pas en quoi le partage par moitié de son deuxième pilier conduirait à une situation d'iniquité, sauf à reprendre l'argument de disparité des situations patrimoniales qu'il a développé en première instance et qui est insuffisant, au regard de la jurisprudence sus-rappelée. Le partage par moitié étant la règle, c'est à l'appelant qu'il appartenait de faire la démonstration que ce partage conduirait à une situation d'iniquité, ce qu'il ne fait pas.</w:t>
      </w:r>
    </w:p>
    <w:p>
      <w:r>
        <w:t>Le juge français a considéré qu'il existait une disparité dans les conditions de vie des époux, ce qui l'a conduit à fixer une indemnité compensatoire d'un montant de 180'000 euros en faveur de l'intimée, tout en refusant la fixation d'une rente viagère (qui aurait été plus favorable à l'intimée compte tenu de son âge), en raison des biens immobiliers qu'elle possédait, de sorte que, par la fixation de ce montant, il a établi un équilibre dans la situation financière des parties. Il a, certes, tenu compte du fait que l'ex-épouse ne travaillait pas, contrairement à l'ex-époux qui avait une capacité de gain et disposait d'un second pilier, mais il n'a pas additionné ce montant de second pilier aux avoirs de l'un ou l'autre des époux, sans compter qu'il n'a pas tenu compte du premier pilier de l'ex-époux, qui constituera un montant confortable en comparaison de la somme de 54,25 euros dévolue à l'ex-épouse à sa retraite. Le montant du 2ème pilier a par ailleurs été arrêté à la date du dépôt de la demande en divorce des époux en France, soit en 2013. L'appelant a, depuis lors, pu se constituer une prévoyance de premier et</w:t>
      </w:r>
    </w:p>
    <w:p>
      <w:r>
        <w:t>- 13/14 -</w:t>
      </w:r>
    </w:p>
    <w:p>
      <w:r>
        <w:t>C/4995/2020 second piliers, par le fruit de son travail, alors que l'intimée, qui a été reconnue incapable de travailler, ne le peut pas, et doit vivre avec la somme de 700'000 euros nets, indemnité compensatoire incluse, qui constitue sa seule ressource. Il sera également relevé que la plupart des biens que l'intimée a vendu sont des biens propres, issus de sa famille, et non des biens acquis durant le mariage avec son époux.</w:t>
      </w:r>
    </w:p>
    <w:p>
      <w:r>
        <w:t>A la lecture de la réplique de l'appelant, celui-ci considère que le revenu net de sa fortune personnelle ne s'élève pas à 73'575 euros, comme retenu par le premier juge, mais à 295'668 euros, après paiement de la soulte du régime matrimonial des parties, qu'il évalue à 107'000 euros. Or, après paiement de cette soulte, mais hors indemnité compensatoire, le patrimoine de l'ex-épouse atteindra, selon lui, 674'600 euros. La disparité des patrimoines des intéressés est donc moins importante que celle retenue par le premier juge. La prestation compensatoire de 180'000 euros, arrêtée par le juge français, ne doit par ailleurs pas être additionnée à ce montant de fortune, dès lors que ne le sont pas, ni les revenus que l'ex-époux a accumulé par son travail depuis 2013, ni le premier pilier qu'il recevra à sa retraite, et qui n'a pas été pris en compte par le juge français dans l'évaluation de la situation de l'ex-époux. Ainsi, il apparaît qu'il se justifie pleinement de partager par moitié les avoirs de deuxième pilier accumulés pendant le mariage par l'ex- époux, sans créer d'iniquité entre les parties, l'ex-épouse ayant droit à la prestation compensatoire et au partage du second pilier de son époux, comme l'a retenu à juste titre le Tribunal. Aucun juste motif de réduction au sens de l'art. 124b al. 2 CC ne saurait être retenu. Contrairement à ce que soutient in fine l'appelant, aucun abus de droit ne peut également être retenu dans le comportement de l'intimée, qui a fait valoir ses droits auprès de chacune des juridictions française et suisse compétentes, dans le respect des règles légales applicables et qui obtient gain de cause.</w:t>
      </w:r>
    </w:p>
    <w:p>
      <w:r>
        <w:t>Ainsi le jugement sera intégralement confirmé.</w:t>
      </w:r>
    </w:p>
    <w:p>
      <w:r>
        <w:t>4. Les frais judiciaires d'appel seront arrêtés à 1'250 fr. (art. 95, 104 al. 1, 105 CPC; art. 30 et 35 RTFMC), mis à la charge de l'appelant qui succombe (art. 106 al. 1 CPC), et entièrement compensés avec l'avance de frais fournie, qui demeure acquise à l'Etat de Genève (art. 111 al. 1 CPC).</w:t>
      </w:r>
    </w:p>
    <w:p>
      <w:r>
        <w:t>Pour le surplus, chaque partie conservera ses propres dépens d'appel (art. 107 al. 1 let. c CPC). * * * * *</w:t>
      </w:r>
    </w:p>
    <w:p>
      <w:r>
        <w:t>- 14/14 -</w:t>
      </w:r>
    </w:p>
    <w:p>
      <w:r>
        <w:t>C/4995/2020 PAR CES MOTIFS, La Chambre civile : A la forme : Déclare recevable l'appel interjeté le 12 septembre 2022 par A______ contre le jugement JTPI/8318/2022 rendu le 11 juillet 2022 par le Tribunal de première instance dans la cause C/4995/2020. Au fond : Confirme le jugement entrepris. Déboute les parties de toutes autres conclusions. Sur les frais : Arrête les frais judiciaires d'appel à 1'250 fr., les met à la charge de A______ et les compense avec l'avance de frais du même montant, laquelle reste acquise à l'Etat de Genève. Dit qu'il n'est pas fixé de dépens d'appel. Siégeant : Madame Jocelyne DEVILLE-CHAVANNE, présidente; Madame Verena PEDRAZZINI RIZZI, Madame Nathalie LANDRY-BARTHE, juges; Madame Gladys REICHENBACH, greffière.</w:t>
      </w:r>
    </w:p>
    <w:p>
      <w:r>
        <w:t>La présidente : Jocelyne DEVILLE-CHAVANNE</w:t>
      </w:r>
    </w:p>
    <w:p>
      <w:r>
        <w:t>La greffière : Gladys REICHENBACH</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février 2019 consid. 4.2 p. 7 § 2; ACJC/1279/2019 du 29 août 2019</w:t>
      </w:r>
    </w:p>
    <w:p>
      <w:r>
        <w:t>- 10/14 -</w:t>
      </w:r>
    </w:p>
    <w:p>
      <w:r>
        <w:t>C/4995/2020 consid. 5.2.2 cum p. 3 let C.d).</w:t>
      </w:r>
    </w:p>
    <w:p>
      <w:r>
        <w:t>3.1.4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par moitié pour de justes motifs et mentionne deux catégories d'exemples à ses chiffres 1 et 2, sans toutefois préciser plus avant cette notion (ATF 145 III 56 consid. 5.3.2; arrêt du Tribunal fédéral 5A_211/2020 du 3 novembre 2020 consid. 4.1). Selon le Message du Conseil fédéral, il y a par exemple iniquité lorsqu'une épouse active finance la formation de son mari et que celui-ci va exercer une profession qui lui permettra de se constituer une meilleure prévoyance vieillesse que sa femme (arrêt du Tribunal fédéral 5A_79/2009 du 28 mai 2009 consid. 2.1). De même, il y a iniquité lorsque l'un des époux est employé et dispose d'un revenu et d'un deuxième pilier modestes, tandis que l'autre conjoint est indépendant, ne dispose pas d'un deuxième pilier, mais se porte beaucoup mieux financièrement (Message du 29 mai 2013 concernant la révision du Code civil suisse [Partage de la prévoyance professionnelle en cas de divorce], FF 2013 4341, pp. 4370 s. ad art. 124b CC [ci-après : Message]).</w:t>
      </w:r>
    </w:p>
    <w:p>
      <w:r>
        <w:t>L'art. 124b CC est une disposition d'exception, qui ne doit pas vider de sa substance le principe du partage par moitié de la prévoyance professionnelle (ATF 145 III 56 consid. 5.4; arrêt du Tribunal fédéral 5A_194/2020 du 5 novembre 2020 consid. 4.1.1). Des différences de fortune ou de perspectives de gains ne constituent pas un motif suffisant pour déroger à ce principe.</w:t>
      </w:r>
    </w:p>
    <w:p>
      <w:r>
        <w:t>Toute inégalité consécutive au partage par moitié ou persistant après le partage par moitié ne constitue pas forcément un juste motif au sens de l'art. 124b al. 2 CC. Les proportions du partage ne doivent toutefois pas être inéquitables. L'iniquité se mesure à l'aune des besoins de prévoyance professionnelle de l'un et de l'autre conjoint (Message, FF 2013 p. 4341 ss, 4371; arrêt du tribunal fédéral 5A_729/2020 du 4 février 2021 consid. 8.1). Il faut veiller à ce que chaque conjoint dispose d'une pension de retraite suffisante (Geiser, Gestaltungsmöglichkeiten beim Vorsorgeausgleich, in RJB 2017 p. 1 ss, 13 ch. 3.3.2). Le partage est donc inéquitable lorsque l'un des époux subit des désavantages flagrants par rapport à l'autre conjoint (Message, loc. cit.; Leuba, Le nouveau droit du partage de la prévoyance professionnelle en cas de divorce, in FamPra.ch 2017 p. 25; cf. ég. ATF 145 III 56 consid. 5.4; arrêt du Tribunal fédéral 5A_106/2021 du 17 mai 2021 consid. 3.1).</w:t>
      </w:r>
    </w:p>
    <w:p>
      <w:r>
        <w:t>- 11/14 -</w:t>
      </w:r>
    </w:p>
    <w:p>
      <w:r>
        <w:t>C/4995/2020 Le juge dispose en la matière d'un large pouvoir d'appréciation (arrêt du Tribunal fédéral 5A_443/2018 du 6 novembre 2018 consid. 2.2 et les références, non publié aux ATF 145 III 56).</w:t>
      </w:r>
    </w:p>
    <w:p>
      <w:r>
        <w:t>3.1.5 Il existe une différence de nature entre la prestation compensatoire du droit civil français et le partage des avoirs de prévoyance prévu par les art. 122ss CC, institution que la législation française ne connaît pas comme telle. La comparaison entre ces deux institutions juridiques montre en effet des différences fondamentales en ce qui concerne le but politico-juridique, la justification de la prétention et l'aménagement de détail. Dans la mesure où la prestation compensatoire n'a pas été fixée en tenant compte des avoirs de libre passage de l'époux débiteur, l'époux créancier doit pouvoir prétendre à l'une comme à l'autre : l'octroi d'une prestation compensatoire n'exclut pas le droit au partage des avoirs de prévoyance (arrêt du Tribunal fédéral 5A_819/2019 du 13 octobre 2020 consid. 3.3.1).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