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ACJC/873/2014 vom 3. Mai 2013</w:t>
      </w:r>
    </w:p>
    <w:p>
      <w:r>
        <w:t>GE Cour de justice, 2013-05-03, FR</w:t>
      </w:r>
    </w:p>
    <w:p>
      <w:r>
        <w:rPr>
          <w:b/>
        </w:rPr>
        <w:t xml:space="preserve">Quelle: </w:t>
      </w:r>
      <w:r>
        <w:t>https://mcp.opencaselaw.ch/entscheid/ge_gerichte_ACJC_873_2014</w:t>
      </w:r>
    </w:p>
    <w:p>
      <w:r>
        <w:t>FR: GE_GERICHTE ACJC/873/2014 du 3 mai 2013</w:t>
      </w:r>
    </w:p>
    <w:p>
      <w:r>
        <w:t>IT: GE_GERICHTE ACJC/873/2014 del 3 maggio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En vertu de l'art. 311 al. 1 CPC, l'appel, écrit et motivé, est introduit auprès de l'instance d'appel dans les trente jours à compter de la notification de la décision motivée ou de la notification postérieure de la motivation. L'appel peut être formé pour violation de la loi (art. 310 let. a CPC) ou consta- tation inexacte des faits (310 let. b CPC).</w:t>
      </w:r>
    </w:p>
    <w:p>
      <w:r>
        <w:rPr>
          <w:b/>
        </w:rPr>
        <w:t>E. 1.2</w:t>
      </w:r>
    </w:p>
    <w:p>
      <w:r>
        <w:t>La valeur litigieuse est supérieure à 10'000 fr. L'appel est en outre recevable pour avoir été déposé selon les formes et dans le délai prescrits.</w:t>
      </w:r>
    </w:p>
    <w:p>
      <w:r>
        <w:rPr>
          <w:b/>
        </w:rPr>
        <w:t>E. 2.1</w:t>
      </w:r>
    </w:p>
    <w:p>
      <w:r>
        <w:t>L'arrêt de la Cour de céans du 18 juin 2012 a constitué une décision incidente, réglant la question préjudicielle de l'opposabilité de l'art. 25 du contrat aux ap- pelants. La voie du recours au Tribunal fédéral contre cet arrêt était ouverte, aux condi- tions strictes de l'art. 93 al. 1 LTF, qui ne semblent pas réunies. Les appelants ne sont quoi qu'il n'en soit pas déchu de leur droit de contester les motifs de cet arrêt à l'occasion du présent appel, l'arrêt du 18 juin 2012 n’étant pas une décision finale.</w:t>
      </w:r>
    </w:p>
    <w:p>
      <w:r>
        <w:rPr>
          <w:b/>
        </w:rPr>
        <w:t>E. 2.2</w:t>
      </w:r>
    </w:p>
    <w:p>
      <w:r>
        <w:t>L'arrêt de renvoi du 18 juin 2012 repose sur une double motivation. D'une part, l'arrêt du Tribunal fédéral 4C.84/2007 du 5 juillet 2007 n'était pas applicable au cas présent. D'autre part, les appelants commettaient quoi qu'il en soit un abus de droit en invoquant l'inopposabilité de l'art. 25 du contrat de bail à leur égard. Les appelants s'en prennent à cette double motivation de sorte que leur critique est recevable.</w:t>
      </w:r>
    </w:p>
    <w:p>
      <w:r>
        <w:t>- 8/13 -</w:t>
      </w:r>
    </w:p>
    <w:p>
      <w:r>
        <w:t>C/4238/2008</w:t>
      </w:r>
    </w:p>
    <w:p>
      <w:r>
        <w:rPr>
          <w:b/>
        </w:rPr>
        <w:t>E. 2.3</w:t>
      </w:r>
    </w:p>
    <w:p>
      <w:r>
        <w:t>Selon l'art. 261 al. 1 CO, si après la conclusion du bail, le bailleur aliène la chose louée ou si elle lui est enlevée dans le cadre d'une poursuite pour dettes ou d'une faillite, le bail passe à l'acquéreur avec la propriété de la chose. L'acquéreur devient de par la loi partie au contrat à la place du bailleur, dont il reprend tous les droits et toutes les obligations (ATF 127 III 273 cons. 4c/aa). Le caractère exorbitant de l'art. 261 CO, au regard de la liberté contractuelle et de la relativité des conventions, exclut que des clauses contractuelles ne ressortissant pas au contrat de bail, soit par exemple en cas de contrat mixte ou composé, soient transférées à l'acquéreur. Quoi qu'en disent les appelants, l'état de fait soumis au Tribunal fédéral dans l'arrêt 4C.84/2007 diffère sensiblement du cas d'espèce. Ainsi, la clause d'indem- nisation dont a connu le Tribunal fédéral figurait dans des dispositions complé- mentaires pour établissements publics, alors que celle dont est question est direc- tement intégrée au contrat de bail. Les appelants ne pouvaient ignorer l'existence de cette clause du bail au moment de l'acquisition contrairement à l'acquéreur de l'immeuble dans le cas soumis au Tribunal fédéral. L'indemnisation est consacrée par une clause particulière du bail et non par une convention séparée relative à la cession du fonds de commerce. L'on ne se trouve pas en présence d'un contrat composé ou mixte, de telle sorte que l'application restrictive de l'art. 261 CO en raison de son caractère "exorbitant", n'a pas lieu d'être. L'intimée peut dès lors prétendre à être indemnisée par les appelants sur la base de l'article 25 du contrat.</w:t>
      </w:r>
    </w:p>
    <w:p>
      <w:r>
        <w:rPr>
          <w:b/>
        </w:rPr>
        <w:t>E. 2.4</w:t>
      </w:r>
    </w:p>
    <w:p>
      <w:r>
        <w:t>La Cour a également retenu que les appelants commettaient un abus de droit en arguant de l'inopposabilité de l'art. 25 des clauses particulières du bail. Selon l'art. 2 al. 2 CC, l'abus manifeste d'un droit n'est pas protégé par la loi. Les cas typiques d'abus de droit sont l'absence d'intérêt à l'exercice d'un droit, l'uti- lisation d'une institution juridique de façon contraire à son but, la disproportion manifeste des intérêts en présence, l'exercice d'un droit sans ménagement ou une attitude contradictoire (ATF 135 III 162 consid. 3.3.1). Le principe de l'inter- diction de l'abus de droit permet de corriger les effets de la loi dans certains cas où l'exercice d'un droit allégué créerait une injustice manifeste. La question doit être tranchée au regard de toutes les circonstances concrètes, et l'abus doit être admis restrictivement. Parmi les éléments qui ont conduit la Cour à estimer que les recourants com- mettaient un abus de droit, se trouvait le courrier du 13 septembre 2007 de l'inti- mée, lequel laissait entendre que la question de l'indemnisation était acquise par les appelants, alors qu'ils le contestaient dans le cadre de la présente procédure. Il</w:t>
      </w:r>
    </w:p>
    <w:p>
      <w:r>
        <w:t>- 9/13 -</w:t>
      </w:r>
    </w:p>
    <w:p>
      <w:r>
        <w:t>C/4238/2008 est exact que la Cour n'avait pas à disposition l'ensemble des courriers échangés par les parties avant et peu après la restitution des locaux, lesquels n'ont été pro- duits que lors de l'instruction complémentaire effectuée par le Tribunal s'agissant de l'indemnité due à l'intimée. A la lecture de ces correspondances, il ressort que les appelants, alors qu'ils le contestaient sans l'étayer, n'ont jamais admis le prin- cipe de l'indemnisation de l'intimée. Toutefois, ce fait ne change rien à l'appréciation de la Cour, laquelle a pris en considération globalement le comportement des appelants. L'arrêt du 12 juin 2012 de la Cour retenait d’ailleurs que la question de la reconnaissance ou non de l'opposabilité de l'art. 25 du contrat pouvait rester ouverte, dans la mesure où leur comportement était contradictoire. Les courriers échangés par les parties ren- forcent ce sentiment puisque le 20 décembre 2007, les appelants écrivaient ne pas pouvoir se prononcer sur une éventuelle indemnité sans réaliser une contre-ex- pertise, celle de M______ étant contestée. Les appelants invitaient par la même occasion l'intimée à restituer les locaux, la contre-expertise pouvant être réalisée sans que l'intimée ne conserve la possession des lieux. Par courrier du 24 décembre 2007, l'intimée ne s'opposait pas à la réalisation d'une contre-expertise, tout en souhaitant qu'elle soit réalisée avant la restitution des locaux. Par la suite, les locaux ont été restitués et l'intimée a perdu la maîtrise du mobilier et du matériel, sans qu'une contre-expertise ne soit réalisée par les appelants, exception faite du rapport d'inventaire de Me N______. L'on ne saurait accorder une force probante accrue à l’inventaire de ce dernier, un huissier judiciaire ne dispose en général pas de connaissances particulières en la matière. De surcroît, son estimation se fonde sur une valeur de réalisation, alors qu'elle devrait se baser sur une valeur d'usage dans le cadre de l'exploitation d'un établissement public de débit de boissons. L'attitude des appelants était particulièrement contraire à la bonne foi en tant qu'elle laissait entrevoir à l'intimée une éventuelle indemnisation alors que tel n'était pas le cas. Les appelants ont ainsi exploité les locaux pendant près de quatre ans et profité des installations et du matériel fourni par l'intimée. S'il est vrai que les appelants avaient, à terme, le projet de remodeler les locaux et détruire le pub, il n'en reste pas moins qu'ils ont exploité l'établissement pendant plusieurs années. A ce titre, l'on ne voit pas en quoi la Cour aurait erré en retenant que telle était la volonté des appelants en résiliant le bail. Au contraire, cette appréciation se fonde sur le motif même du congé, soit la reprise de la gestion de l'établissement public et la réalisation de travaux sur le bâtiment. L'appel se révèle donc infondé sur ce point.</w:t>
      </w:r>
    </w:p>
    <w:p>
      <w:r>
        <w:t>- 10/13 -</w:t>
      </w:r>
    </w:p>
    <w:p>
      <w:r>
        <w:t>C/4238/2008</w:t>
      </w:r>
    </w:p>
    <w:p>
      <w:r>
        <w:rPr>
          <w:b/>
        </w:rPr>
        <w:t>E. 3.1</w:t>
      </w:r>
    </w:p>
    <w:p>
      <w:r>
        <w:t>Les appelants font grief au Tribunal de ne pas avoir débouté l'intimée de ses conclusions, cette dernière n'ayant pas sollicité de nouvelle expertise alors que les parties étaient en désaccord sur le montant de l'indemnité. Ce grief est mal fondé. Les appelants avaient proposé le 12 décembre 2007 une contre-expertise, ce qui avait été accepté par l'intimée. Ils n'ont jamais fait réaliser cette contre-expertise, alors que l'intimée avait perdu la maîtrise des lieux. Les ap- pelants avaient par ailleurs assuré que cette contre-expertise pouvait être effectuée quand bien même l'intimée restituait les locaux. Les appelants ont refusé d'exé- cuter la clause prévoyant l'évaluation de l'indemnité par un expert de sorte que l'intimée était fondée à se prévaloir de l'expertise de M______ dans son action en paiement.</w:t>
      </w:r>
    </w:p>
    <w:p>
      <w:r>
        <w:rPr>
          <w:b/>
        </w:rPr>
        <w:t>E. 3.2</w:t>
      </w:r>
    </w:p>
    <w:p>
      <w:r>
        <w:t>Le Tribunal a estimé la valeur du matériel et des installations en procédant à une moyenne des conclusions du rapport du 8 janvier 2008 de Me N______, huissier judiciaire, et celui du 1er mai 2007 de M______. Il est constant que de par leur comportement, les appelants ont rendu difficile l'es- timation de la valeur du mobilier et des installations en refusant, en premier lieu, de réaliser malgré leur promesse une contre-expertise, puis en procédant à leur destruction, alors que la procédure était en cours. Conformément à l'arrêt de renvoi de la Cour, le Tribunal s'est fondé sur les décla- rations de parties, l'expertise de M______, et le rapport de d'inventaire de Me N______. Le Tribunal a ainsi tenu compte, dans le cadre de son pouvoir d'appréciation, de ce que les meubles et le matériel étaient vétustes et mal entretenus, ce sur quoi les parties concordent. Il a également été retenu que la valeur de l’inventaire de Me N______ était sous-évaluée dans la mesure où elle correspondait à une valeur de réalisation, et que par ailleurs une partie des meubles et du matériel n'était pas estimée, vu l'état de ceux-ci et le coût d’un transport en cas de réalisation. Par ailleurs, l'estimation faite par M______ était lacunaire et surévaluée. Aucun inventaire détaillé n'avait été effectué, et le fonctionnement des machines n'avait pas été contrôlé. C'est à juste titre que le Tribunal a retenu qu'il fallait pondérer les deux seuls rap- ports qu'il avait à disposition, complétés des déclarations des témoins. Contraire- ment ce que prétendent les appelants, il n'était pas possible d'évaluer autrement la valeur du mobilier et du matériel, ces derniers ayant été détruits. L'inventaire réalisé par Me N______ ne pouvait servir de base à une expertise plus poussée dans la mesure où il se contente pour l'essentiel soit de décrire génériquement le mobilier, soit de citer la marque des appareils, sans plus de précision.</w:t>
      </w:r>
    </w:p>
    <w:p>
      <w:r>
        <w:t>- 11/13 -</w:t>
      </w:r>
    </w:p>
    <w:p>
      <w:r>
        <w:t>C/4238/2008 Par ailleurs, c'est bien la valeur d'exploitation des biens dont devait tenir compte le Tribunal, et non leur valeur vénale, l'indemnité demandée par l'intimée s'inscrivant dans le cadre de la reprise d'un commerce. A ce titre, selon les décla- rations du témoin P______, il serait nécessaire d'investir 700'000 fr. en vue de réaliser un établissement comme "H______", à neuf. En dépit de la vétusté du matériel et du mobilier, les appelants ont presque immédiatement repris, après quelques travaux notamment de nettoyage, l'exploitation du pub. Dans ces circonstances, le Tribunal a correctement fixé ex aequo et bono la valeur du matériel et du mobilier à 65'925 fr., en procédant à une valeur moyenne entre l'expertise de M______ et l'inventaire de Me N______.</w:t>
      </w:r>
    </w:p>
    <w:p>
      <w:r>
        <w:rPr>
          <w:b/>
        </w:rPr>
        <w:t>E. 3.3</w:t>
      </w:r>
    </w:p>
    <w:p>
      <w:r>
        <w:t>Quant à la part immatérielle du fonds de commerce, le Tribunal s'est exclusi- vement fondé sur l’expertise de M______ l'estimant entre 130'000 fr. et 150'000 fr. Le Tribunal a à nouveau établi une valeur moyenne, à 140'000 fr. Il ressort de la méthodologie adoptée par M______ que le goodwill a été établi sur une base objective, soit en tenant compte d'un chiffre d'affaires objectivement réalisable compte tenu des bilans qui ont été fournis, ainsi que d'une meilleure maîtrise des charges. Il est vrai que cette expertise ne tient pas compte des bilans des années 2006 et 2007. Cependant, Q______, l'un des auteurs de l'expertise entendu à titre de témoin, a indiqué avoir procédé à une projection en se fondant sur les bilans des années 2002 à 2005. Les appelants prétendent que les charges supportées par l'in- timée en 2007 étaient trop importantes, ce qui était démontré par l'accumulation d'un arriéré de loyer. Le rendement, et donc le goodwill, devait être nul compte tenu de cet excès de charges. Il n'est pas contesté que les exploitants du "H______", soit I______ et J______, ont connu des difficultés financières. Il est ignoré quelle était l'ampleur de ces difficultés financières. Quoi qu'il en soit, la Cour retient que la méthodologie employée par M______, fondée sur un chiffre d’affaires projectif et une maîtrise ordinaire des charges pour ce type d'établissement, n'est en soi pas critiquable, ni arbitraire, tant il est vrai qu'un calcul exact du rendement d'un commerce est difficile à établir, les variables étant infinies. Les appelants critiquent également la méthodologie de l'expertise en tant qu'elle retient un taux de capitalisation fondé sur un bail de longue durée, alors que la so- ciété gérant "H______" et détenue par eux-mêmes, ne dispose que d'un contrat d'une année renouvelable. Le contrat en question n'a pas été produit de sorte cet allégué n'est pas prouvé. Cette critique est, quoi qu'il en soit, spécieuse. Les appelants sont non seulement propriétaires de l'immeuble mais également les détenteurs de la société ayant géré "H______" après le départ de l'intimée. Dans ces circonstances, il était naturel de tenir compte d'un bail de longue durée,</w:t>
      </w:r>
    </w:p>
    <w:p>
      <w:r>
        <w:t>- 12/13 -</w:t>
      </w:r>
    </w:p>
    <w:p>
      <w:r>
        <w:t>C/4238/2008 puisqu'ils n'avaient pas à craindre une résiliation de bail les empêchant d'amortir leur investissement. Les appelants prétendent également qu'ils n'ont pas à payer deux fois le bon em- placement de l'établissement, l'ayant déjà fait lors de l'acquisition de l'immeuble. Or, selon le précédent propriétaire de l'immeuble E______, entendu à titre de témoin, la valeur de l'établissement n'a pas été prise en compte dans la valeur de l'immeuble. Par ailleurs, les appelants se méprennent sur la valeur attribuée à l'emplacement de l'établissement. Il s'agit d'un élément susceptible d'accroître la valeur du fonds de commerce, mais dont l'expertise n'a pas tenu compte. Enfin, il ressort de l'expertise de M______ que les chiffres d'affaires sur lesquels elle s'est fondée ne comprenaient qu'une petite partie liée à la restauration. Le fait que les appelants aient renoncé à un service de restauration en raison de la vétusté ou à l'absence de fonctionnement des installations a trait à la part matérielle du fonds de commerce et non au goodwill. Dès lors, le jugement entrepris sera confirmé.</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- 13/13 -</w:t>
      </w:r>
    </w:p>
    <w:p>
      <w:r>
        <w:t>C/4238/2008 PAR CES MOTIFS, La Chambre des baux et loyers : A la forme : Déclare recevable l'appel interjeté le 10 juin 2013 par B______ et A______ contre le jugement JTBL/467/2013 rendu le 3 mai 2013 par le Tribunal des baux et loyers dans la cause C/4238/2008-2-D. Au fond : Confirme ce jugement. Dit que la procédure est gratuite. Déboute les parties de toutes autres conclusions. Siégeant : Madame Nathalie LANDRY-BARTHE, présidente; Monsieur Laurent RIEBEN et Madame Fabienne GEISINGER-MARIÉTHOZ, juges; Monsieur Bertrand REICH et Monsieur Pierre STASTNY,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