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ACJC/872/2016 vom 24. Juni 2016</w:t>
      </w:r>
    </w:p>
    <w:p>
      <w:r>
        <w:t>GE Cour de justice, 2016-06-24, FR</w:t>
      </w:r>
    </w:p>
    <w:p>
      <w:r>
        <w:rPr>
          <w:b/>
        </w:rPr>
        <w:t xml:space="preserve">Quelle: </w:t>
      </w:r>
      <w:r>
        <w:t>https://mcp.opencaselaw.ch/entscheid/ge_gerichte_ACJC_872_2016</w:t>
      </w:r>
    </w:p>
    <w:p>
      <w:r>
        <w:t>FR: GE_GERICHTE ACJC/872/2016 du 24 juin 2016</w:t>
      </w:r>
    </w:p>
    <w:p>
      <w:r>
        <w:t>IT: GE_GERICHTE ACJC/872/2016 del 24 giugno 2016</w:t>
      </w:r>
    </w:p>
    <w:p>
      <w:pPr>
        <w:pStyle w:val="Heading2"/>
      </w:pPr>
      <w:r>
        <w:t>Erwägungen</w:t>
      </w:r>
    </w:p>
    <w:p>
      <w:r>
        <w:rPr>
          <w:b/>
        </w:rPr>
        <w:t>E. 1.1</w:t>
      </w:r>
    </w:p>
    <w:p>
      <w:r>
        <w:t>L'appel est dirigé contre une décision finale de première instance dans le cadre d'un litige portant sur une valeur litigieuse de plus de 10'000 fr. au dernier état des conclusions de première instance (art. 308 al. 1 let. a et al. 2 CPC). Il a été introduit dans les 30 jours à compter de la notification de la décision motivée et il respecte la forme prescrite (art. 311 al. 1 CPC).</w:t>
      </w:r>
    </w:p>
    <w:p>
      <w:r>
        <w:t>L'appel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question de la recevabilité de la pièce nouvelle produite par l'appelante peut rester indécise, dès lors que le fait qu'elle tend à prouver, soit la continuation du mandat confié à l'appelante après la première vente n'a jamais été contesté par l'intimé, ce dernier ayant uniquement nié que le contrat initial portait également sur le lot A. Partant, le document litigieux tend à prouver un fait non contesté, qui doit en conséquence être admis (art. 150 al. 1 CPC a contrario).</w:t>
      </w:r>
    </w:p>
    <w:p>
      <w:r>
        <w:rPr>
          <w:b/>
        </w:rPr>
        <w:t>E. 2</w:t>
      </w:r>
    </w:p>
    <w:p>
      <w:r>
        <w:t>L'appelante reproche au premier juge une appréciation erronée des faits et une violation de l'art. 413 CO.</w:t>
      </w:r>
    </w:p>
    <w:p>
      <w:r>
        <w:t>2.1.1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p. 275 et réf. citées; arrêt du Tribunal fédéral 4C.333/2000 du 28 mars 2001, consid. 2 d, aa, et réf. citées).</w:t>
      </w:r>
    </w:p>
    <w:p>
      <w:r>
        <w:t>Aux termes de l'art. 413 al. 1 CO, le courtier a droit à son salaire dès que l'indication qu'il a donnée ou la négociation qu'il a conduite aboutit à la conclusion du contrat.</w:t>
      </w:r>
    </w:p>
    <w:p>
      <w:r>
        <w:t>- 11/18 -</w:t>
      </w:r>
    </w:p>
    <w:p>
      <w:r>
        <w:t>C/15379/2013</w:t>
      </w:r>
    </w:p>
    <w:p>
      <w:r>
        <w:t>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La preuve du rapport de causalité entre l'activité du courtier et la conclusion du contrat principal par le mandant et le tiers incombe au courtier. Le courtier bénéficie toutefois d'une présomption de fait, que s'il a réellement accompli des efforts objectivement propres à favoriser la conclusion du contrat, le juge peut admettre, si le contraire ne ressort pas des circonstances, que ces efforts ont effectivement entraîné cette conséquence (ATF 131 III 268 consid. 5.1.4; arrêt 4A_401/2012 du 16 octobre 2012 consid. 4).</w:t>
      </w:r>
    </w:p>
    <w:p>
      <w:r>
        <w:t>Le courtage d'indication ou de négociation ne se rapporte, sauf stipulation contraire, qu'à la conclusion d'un ou de plusieurs contrats déterminés. Le salaire n'est dû au courtier pour chacun d'une suite de contrats que s'ils constituent une unité économique, ayant été envisagée d'emblée dans leur totalité comme une seule affaire, qui à cause de certains obstacles, a été fractionnée en plusieurs transactions successives. Lorsque cette unité n'est pas réalisée, le courtage n'est dû que sur le premier marché conclu avec le client procuré par le courtier (ATF 75 II 53, JdT 1949 I 468).</w:t>
      </w:r>
    </w:p>
    <w:p>
      <w:r>
        <w:t>2.1.2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Au stade des déductions à opérer sur la base d'indices, le comportement que les cocontractants ont adopté dans l'exécution de leur accord peut éventuellement dénoter de quelle manière ils l'ont eux-mêmes compris, et révéler</w:t>
      </w:r>
    </w:p>
    <w:p>
      <w:r>
        <w:t>- 12/18 -</w:t>
      </w:r>
    </w:p>
    <w:p>
      <w:r>
        <w:t>C/15379/2013 par là leur réelle et commune intention (ATF 132 III 626 consid. 3.1 p. 632; 129 III 675 consid. 2.3).</w:t>
      </w:r>
    </w:p>
    <w:p>
      <w:r>
        <w:rPr>
          <w:b/>
        </w:rPr>
        <w:t>E. 2.2</w:t>
      </w:r>
    </w:p>
    <w:p>
      <w:r>
        <w:t>En l'espèce, les parties admettent avoir conclu oralement un contrat de courtage d'indication. Elles divergent en revanche sur la question de savoir si le mandat confié visait également le lot A, sur lequel l'intimé projetait à l'époque de construire une nouvelle villa familiale.</w:t>
      </w:r>
    </w:p>
    <w:p>
      <w:r>
        <w:t>Selon l'ancien administrateur de l'appelante, la vente du lot A était également envisageable, à la condition que l'intimé puisse conserver un accès direct au lac depuis les parcelles non vendues. Le témoin H______ a confirmé qu'aucune parcelle n'était exclue de la vente projetée. D'après lui, B______ avait même dit que "tout était possible", y compris une vente de l'ensemble des terrains. O______, mandaté en tant que courtière à la même époque par l'intimé, a elle aussi indiqué que ce dernier souhaitait également vendre le lot A. K______ a mentionné qu'une vente de l'ensemble des parcelles avait été évoquée lors des pourparlers, mais que le prix était trop élevé et que le vendeur voulait en tout état de cause rester à E______. I______, collaborateur de l'intimé, a certes déclaré que la vente du lot A n'était pas envisagée. Toutefois, ce témoin a précisé ne pas avoir assisté aux discussions portant sur l'ampleur du contrat de courtage, de sorte que ses déclarations sur ce point ne sauraient être déterminantes. Par ailleurs, l'intimé a lui-même admis que la vente du lot A était envisageable s'il pouvait conserver un accès au lac par le lot B. Il a ajouté que la possibilité de vendre ensemble les lots A et B, lesquels intéressaient K______, avait également été évoquée, mais elle avait été abandonnée car ce dernier ne souhaitait pas lui octroyer une voie de passage sur une parcelle qu'il aurait acquise. Il en résulte que, malgré les projets de construction et les dépenses déjà engagées en vue de réaménager le lot A pour sa famille, l'intimé n'excluait pas, lors de la conclusion du mandat de courtage, la vente de ce lot, même simultanément à celle du lot B, pour autant qu'il eût pu conserver depuis le lot D un accès au lac autre, au vu de la configuration des lieux, que celui déjà octroyé par le lot C.</w:t>
      </w:r>
    </w:p>
    <w:p>
      <w:r>
        <w:t>Il sera ainsi retenu que la vente du 30 mars 2012 n'a pas porté sur le lot A, que l'acheteur souhaitait également acquérir, dans la mesure où aucun accord n'a pu être trouvé pour assurer au vendeur l'accès au lac souhaité. Cela étant, les parties n'ont exclu du contrat de courtage aucune parcelle. La procédure a permis d'établir que l'intimé souhaitait conserver une résidence à E______ avec un accès direct au lac. Elles ont envisagé, lors de la conclusion du contrat de courtage, la vente d'une partie des parcelles, y compris éventuellement celles sises sur le lot A, avec préservation d'un accès direct au lac, autre que celui octroyé par le lot C, pour les terrains restant en mains de l'intimé.</w:t>
      </w:r>
    </w:p>
    <w:p>
      <w:r>
        <w:rPr>
          <w:b/>
        </w:rPr>
        <w:t>E. 2.3</w:t>
      </w:r>
    </w:p>
    <w:p>
      <w:r>
        <w:t>Reste à examiner si la vente du mois de décembre 2012 se trouve dans un rapport de causalité avec l'activité fournie par le courtier.</w:t>
      </w:r>
    </w:p>
    <w:p>
      <w:r>
        <w:t>- 13/18 -</w:t>
      </w:r>
    </w:p>
    <w:p>
      <w:r>
        <w:t>C/15379/2013 Il n'est pas contesté que l'intimé a accepté de vendre le lot A en raison, d'une part, de la découverte de staphylocoques dorés dans la villa qu'il venait de vendre à K______ et de la crainte de voir cette vente annulée et, d'autre part, l'opportunité nouvelle d'acquérir une parcelle contiguë au lot A lui permettant d'accéder au lac depuis le lot D. Si ces éléments sont survenus consécutivement à la conclusion de la vente du 30 mars 2012, l'achat d'une nouvelle parcelle, contiguë au lot A, garantissant à l'intimé l'accès au lac depuis le lot D a permis de respecter les exigences qu'il avait posées à l'époque de la conclusion du mandat. En effet, ainsi qu'il a été exposé plus haut, la vente du 30 mars 2012 aurait également pu inclure le lot A si les parties s'étaient accordées sur l'octroi d'un accès au lac sur les lots A ou B pour l'intimé. Il y a dès lors lieu d'admettre que les deux contrats de vente constituent une unité économique, ayant été envisagés d'emblée dans leur totalité comme une seule affaire qui a été néanmoins fractionnée en raison de l'impossibilité de trouver un accord sur l'aménagement d'un droit de passage garantissant à l'intimé un accès direct au lac. Cet obstacle a toutefois disparu lorsque l'intimé a pu acquérir la parcelle contiguë au lot A lui octroyant l'accès souhaité. Au demeurant, l'appelante a été la première à désigner, comme s'intéressant à l'affaire, la personne qui a par la suite acheté le lot A. L'intérêt de K______ pour ce lot est né immédiatement, dès sa première visite; il aurait voulu acquérir les lots A et B ensemble en mars 2012 déjà. En dépit de la conclusion de la première vente, l'intérêt de l'acquéreur a subsisté, ce que l'intimé savait, puisqu'il a consenti à la vente du lot A quelques mois après la première vente, notamment en vue de compenser les désagréments subis par l'acheteur sur le lot B. Enfin, l'intimé a expressément admis que la conclusion de la première vente n'avait pas mis un terme aux relations entre les parties. En effet, l'intimé a non seulement déclaré avoir réservé à K______ une priorité pour une acquisition subséquente, selon sa version des faits, du seul lot D, mais également avoir rappelé à l'appelante qu'elle percevrait une commission sur les éventuelles ventes futures. Il n'est au surplus pas prouvé, ni même allégué, que le prix négocié pour le lot A divergerait sensiblement de celui qui aurait été évoqué pour ce lot lors des pourparlers du mois de février 2012. L'intimé n'a notamment pas prétendu que les événements survenus sur le lot B (la découverte de staphylocoques dorés) auraient eu une incidence sur le prix accordé. Ce dernier, correspondant à environ 9'070 fr. le m² (20'000'000 fr. / 2'205 m²), est au surplus conforme à celui que l'intimé avait dit à l'appelante souhaiter obtenir. Au vu de ce qui précède, on ne saurait retenir que les pourparlers consécutifs à l'activité déployée par l'appelante en début d'année 2012 ont été définitivement rompus et que la vente du mois de décembre 2012 s'est finalement conclue sur des bases toutes nouvelles. Le lien psychologique qui est déterminant selon la</w:t>
      </w:r>
    </w:p>
    <w:p>
      <w:r>
        <w:t>- 14/18 -</w:t>
      </w:r>
    </w:p>
    <w:p>
      <w:r>
        <w:t>C/15379/2013 jurisprudence cité plus haut doit être admis entre ladite activité et l'aboutissement de l'affaire.</w:t>
      </w:r>
    </w:p>
    <w:p>
      <w:r>
        <w:rPr>
          <w:b/>
        </w:rPr>
        <w:t>E. 2.4</w:t>
      </w:r>
    </w:p>
    <w:p>
      <w:r>
        <w:t>L'appelante a par conséquent droit à la rémunération convenue. Les parties divergent toutefois sur le montant de cette dernière. Le montant de 1'000'000 fr. HT, payé à l'appelante à la suite de la première vente, représente une commission de 2.56% du prix de vente de 39'000'000 fr. Il correspond à la somme convenue par les parties après avoir été arrondie, selon l'appelante, à la baisse et, d'après l'intimé, à la hausse. L'appelante soutient que les parties s'étaient initialement accordées sur une commission de 3% du prix de vente, soit 1'170'000 fr. HT, alors que l'intimé invoque un pourcentage de 2%, soit 780'000 fr. HT. Les seules déclarations de l'intimé et du témoin I______, qui ont mentionné une commission convenue de 2%, ne permettent pas de retenir un accord sur ce pourcentage. L'intimé n'a notamment pas été catégorique à ce sujet, indiquant ne pas avoir de souvenir précis, mais être sûr de ne jamais avoir accepté un pourcentage de 3%; il s'agissait, selon lui, "plutôt" d'une commission de 2%. Par ailleurs, tous deux ont évoqué le fait que le représentant de l'appelante aurait "accepté" une augmentation du montant convenu vers la hausse; or, un accord dans une telle situation apparaît inutile. Au demeurant, l'intimé n'a pas déclaré avoir formulé une quelconque objection lorsque K______ lui a dit, selon ses propres déclarations, que la commission était supérieure à 2%, le laissant proposer à l'appelante un montant supérieur, de 1'000'000 fr. Enfin, il n'explique pas pourquoi il aurait décidé d'augmenter unilatéralement la rémunération du courtier d'environ 28%. Lors de la conclusion de la première vente, l'intimé a rappelé au courtier que d'autres ventes donnant droit à une commission étaient encore possibles. Cet élément plaide également en faveur de la version des faits de l'appelante, l'acceptation du courtier de réduire ses prétentions apparaissant dans ce contexte plus probable qu'une augmentation volontaire par le mandant de la commission due. Néanmoins, les éléments au dossier ne sont pas suffisants pour admettre que le pourcentage convenu était de 3%. Les déclarations du témoin H______ sur une commission fixé à 3% ne sauraient à cet égard être déterminantes, dans la mesure où ce pourcentage lui a été communiqué uniquement par l'appelante. Dans ces circonstances, il sera considéré que la commission convenue correspondait à tout le moins à 2.56% du prix de vente HT. L'intimé sera donc condamné à verser à l'appelante la somme de 552'960 fr. (512'000 fr. + TVA de 8%). Ce montant porte intérêts à 5% l'an dès le 4 décembre</w:t>
      </w:r>
    </w:p>
    <w:p>
      <w:r>
        <w:t>- 15/18 -</w:t>
      </w:r>
    </w:p>
    <w:p>
      <w:r>
        <w:t>C/15379/2013 2012, soit le lendemain de la vente du lot A, cette date n'ayant pas été contestée (art. 102 al. 2 et 104 al. 1 CO). La mainlevée de la poursuite n° 1______ sera ainsi prononcée à hauteur de cette somme. Le jugement entrepris sera donc annulé et modifié dans ce sens.</w:t>
      </w:r>
    </w:p>
    <w:p>
      <w:r>
        <w:rPr>
          <w:b/>
        </w:rPr>
        <w:t>E. 3.1</w:t>
      </w:r>
    </w:p>
    <w:p>
      <w:r>
        <w:t>Lorsque l'instance d'appel statue à nouveau, elle se prononce sur les frais de première instance (art. 318 al. 3 CPC). Au vu de l'issue du litige, les frais de première instance - dont le montant de 30'430 fr. n'est pas contesté - seront mis pour les six septièmes à la charge de l'intimé (26'082 fr. 85), qui succombe sur l'essentiel, et pour un septième à la charge de l'appelante (4'347 fr. 15) (art. 106 al. 1 CPC). Ces frais seront compensés avec l'avance fournie par l'appelante en première instance, qui demeure acquise à l'Etat (art. 111 al. 1 CPC), et l'intimé sera condamné à lui rembourser la somme de 26'082 fr. 85 (art. 111 al. 2 CPC). L'intimé sera en outre condamné à payer les six septièmes des dépens de première instance de l'appelante, le tiers restant étant dû par celle-ci à son adverse partie. Ces dépens sont fixés à 24'860 fr. pour l'appelante et 4'140 fr. pour l'intimé, TVA et débours compris (art. art. 84, 85 al. 1 RTFMC; art. 25 et 26 al. 1 LaCC). L'intimé sera donc condamné à verser à l'appelante 20'720 fr. (24'860 fr. - 4'140 fr.) à titre de dépens.</w:t>
      </w:r>
    </w:p>
    <w:p>
      <w:r>
        <w:rPr>
          <w:b/>
        </w:rPr>
        <w:t>E. 3.2</w:t>
      </w:r>
    </w:p>
    <w:p>
      <w:r>
        <w:t>En appel, il y a lieu d'appliquer la même clé de réparation. Les frais judiciaires de l'appel, arrêtés à 25'920 fr. (art. 17 et 35 RTFMC) seront ainsi mis pour les six septièmes à la charge de l'intimé (22'217 fr. 15), le solde devant être assumé par l'appelante. Ces frais seront compensés avec l'avance versée par l'appelante en deuxième instance, qui demeure acquise à l'Etat (art. 111 al. 1 CPC) et l'intimé sera condamné à restituer à l'appelante la somme de 22'217 fr. 15 (art. 111 al. 2 CPC). Les dépens d'appel de chacune des parties sont fixé à 20'000 fr., TVA et débours inclus (art. 84, 85 al. 1 et 90 RTFMC; art. 25 et 26 al. 1 LaCC). L'intimé doit ainsi à l'appelante six septièmes de ce montant, soit 17'143 fr. L'appelante devra à l'intimée un septième de 20'000 fr., soit 2'857 fr. L'intimé sera donc condamné à verser en définitive des dépens de 14'286 fr.</w:t>
      </w:r>
    </w:p>
    <w:p>
      <w:r>
        <w:t>- 16/18 -</w:t>
      </w:r>
    </w:p>
    <w:p>
      <w:r>
        <w:t>C/15379/2013</w:t>
      </w:r>
    </w:p>
    <w:p>
      <w:r>
        <w:rPr>
          <w:b/>
        </w:rPr>
        <w:t>E. 4</w:t>
      </w:r>
    </w:p>
    <w:p>
      <w:r>
        <w:t>Le présent arrêt est susceptible d'un recours en matière civile au Tribunal fédéral (art. 72 al. 1 LTF), la valeur litigieuse étant supérieure à 30'000 fr. (art. 51 al. 1 let. a et art. 74 al. 1 let. b LTF). * * * * *</w:t>
      </w:r>
    </w:p>
    <w:p>
      <w:r>
        <w:t>- 17/18 -</w:t>
      </w:r>
    </w:p>
    <w:p>
      <w:r>
        <w:t>C/15379/2013</w:t>
      </w:r>
    </w:p>
    <w:p>
      <w:r>
        <w:t>PAR CES MOTIFS, La Chambre civile : A la forme : Déclare recevable l'appel interjeté par A______ SA contre le jugement JTPI/12404/2015 rendu le 21 octobre 2015 par le Tribunal de première instance dans la cause C/15379/2013-13. Au fond : Annule ce jugement et, statuant à nouveau : Condamne B______ à payer à A______ SA la somme de 552'960 fr. plus intérêts à 5% l'an dès le 4 décembre 2012. Prononce la mainlevée de l'opposition formée au commandement de payer, poursuite n° 1______, à hauteur de 552'960 fr. plus intérêts à 5% l'an dès le 4 décembre 2012. Arrête les frais judiciaires de première instance à 30'430 fr., les met à charge de B______ à hauteur de 26'082 fr. 85 et de A______ SA à hauteur de 4'347 fr. 15 et les compense avec l'avance versée, qui reste acquise à l'Etat de Genève. Condamne B______ à rembourser à A______ SA la somme de 26'082 fr. 85. Condamne B______ à verser à A______ SA la somme de 20'720 fr. à titre de dépens de première instance. Sur les frais : Arrête les frais judiciaires d'appel à 25'920 fr., les met à la charge de B______ à hauteur de 22'217 fr. 15 et de A______ SA à hauteur de 3'703 fr. et les compense avec l'avance de frais versée, qui reste acquise à l'Etat de Genève. Condamne B______ à rembourser à A______ SA la somme de 22'217 fr. 15. Condamne B______ à verser à A______ SA la somme de 14'286 fr. à titre de dépens d'appel. Siégeant : Monsieur Jean-Marc STRUBIN, président; Monsieur Laurent RIEBEN et Madame Fabienne GEISINGER-MARIETHOZ, juges; Madame Anne-Lise JAQUIER, greffière. Le président : Jean-Marc STRUBIN</w:t>
      </w:r>
    </w:p>
    <w:p>
      <w:r>
        <w:t>La greffière : Anne-Lise JAQUIER</w:t>
      </w:r>
    </w:p>
    <w:p>
      <w:r>
        <w:t>- 18/18 -</w:t>
      </w:r>
    </w:p>
    <w:p>
      <w:r>
        <w:t>C/15379/2013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