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ACJC/868/2021 vom 28. Juni 2021</w:t>
      </w:r>
    </w:p>
    <w:p>
      <w:r>
        <w:t>GE Cour de justice, 2021-06-28, FR</w:t>
      </w:r>
    </w:p>
    <w:p>
      <w:r>
        <w:rPr>
          <w:b/>
        </w:rPr>
        <w:t xml:space="preserve">Quelle: </w:t>
      </w:r>
      <w:r>
        <w:t>https://mcp.opencaselaw.ch/entscheid/ge_gerichte_ACJC_868_2021</w:t>
      </w:r>
    </w:p>
    <w:p>
      <w:r>
        <w:t>FR: GE_GERICHTE ACJC/868/2021 du 28 juin 2021</w:t>
      </w:r>
    </w:p>
    <w:p>
      <w:r>
        <w:t>IT: GE_GERICHTE ACJC/868/2021 del 28 giugno 2021</w:t>
      </w:r>
    </w:p>
    <w:p>
      <w:pPr>
        <w:pStyle w:val="Heading2"/>
      </w:pPr>
      <w:r>
        <w:t>Erwägungen</w:t>
      </w:r>
    </w:p>
    <w:p>
      <w:r>
        <w:rPr>
          <w:b/>
        </w:rPr>
        <w:t>E. 1.1</w:t>
      </w:r>
    </w:p>
    <w:p>
      <w:r>
        <w:t>S'agissant d'une procédure de mainlevée, seule la voie du recours est ouverte (art. 319 let. b ch. 1 et 309 let. b ch. 3 CPC). La procédure sommaire s'applique (art. 251 let. a CPC).</w:t>
      </w:r>
    </w:p>
    <w:p>
      <w:r>
        <w:t>Interjeté dans le délai de 10 jours prescrit et selon la forme requise par la loi (art. 142 al. 3, 321 al. 1 et 2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Le recours étant instruit en procédure sommaire, la maxime des débats s'applique et la preuve des faits allégués doit être apportée par titre (art. 55 al. 1, 255 let. a a contrario et 254 CPC). Le principe de disposition est applicable (art. 58 al. 1 CPC).</w:t>
      </w:r>
    </w:p>
    <w:p>
      <w:r>
        <w:rPr>
          <w:b/>
        </w:rPr>
        <w:t>E. 1.3</w:t>
      </w:r>
    </w:p>
    <w:p>
      <w:r>
        <w:t>Les allégations nouvelles sont irrecevables (art. 326 al. 1 CPC).</w:t>
      </w:r>
    </w:p>
    <w:p>
      <w:r>
        <w:t>Les allégations du recourant au sujet des motifs de résiliation qui ne figurent pas au procès-verbal de l'audience du Tribunal (cf. ci-dessous consid. 2; art. 235 al. 2 CPC) constituent des faits nouveaux irrecevables. En toute hypothèse, les faits en question ne sont pas déterminants pour la solution du litige.</w:t>
      </w:r>
    </w:p>
    <w:p>
      <w:r>
        <w:rPr>
          <w:b/>
        </w:rPr>
        <w:t>E. 2</w:t>
      </w:r>
    </w:p>
    <w:p>
      <w:r>
        <w:t>Le recourant fait grief au Tribunal d'avoir considéré qu'il n'avait pas rendu vraisemblable sa libération. Il fait valoir que l'intimée a mal exécuté sa prestation découlant du contrat d'écolage, en mettant en danger l'intégrité psychique et</w:t>
      </w:r>
    </w:p>
    <w:p>
      <w:r>
        <w:t>- 6/11 -</w:t>
      </w:r>
    </w:p>
    <w:p>
      <w:r>
        <w:t>C/25891/2020 physique de son fils. En particulier, D______ était le seul enfant précoce dans sa classe, ses camarades étant autistes ou atteints de troubles du comportement; D______ était le plus jeune enfant de l'établissement et s'était retrouvé totalement isolé de ses autres camarades; l'école avait laissé ouverte la bâche de la piscine de l'établissement, située au milieu du préau sans barrière de sécurité, alors que les enfants jouaient autour à l'occasion d'une fête de fin d'année; les cours de gymnastique étaient dispensés dans un autre établissement scolaire, si bien que D______ devait se changer, seul, parmi des adolescents qui s'exposaient nus devant lui; D______ avait subi divers agressions de la part d'élèves beaucoup plus âgés que lui, notamment les 9 et 17 octobre 2019; l'école avait affirmé que la situation de D______ allait changer lors de la rentrée 2019-2020, alors que cela ne s'était pas produit. Les documents déposés par lui attestaient des manquements précités, dont certains avaient été admis par l'école, notamment s'agissant des agressions. A propos de l'agression subie par D______ le 9 octobre 2019, l'école avait reconnu les faits et renvoyé pendant une journée l'enfant qui avait commis ces actes. Les manquements précités démontraient que le contrat bilatéral n'avait pas été correctement exécuté par l'intimée, de sorte que la mainlevée provisoire ne pouvait pas être prononcée.</w:t>
      </w:r>
    </w:p>
    <w:p>
      <w:r>
        <w:rPr>
          <w:b/>
        </w:rPr>
        <w:t>E. 2.1.1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d'autres moyens de preuves immédiatement disponibles n'étant, le cas échéant, pas exclus (ATF 145 III 160 consid. 5.1 et les références).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Plus la reconnaissance de dette est claire plus la vraisemblance de la libération doit être accrue. Il se peut que le juge de la mainlevée ne soit pas persuadé de l'existence des faits allégués par le poursuivi. Dès lors, il n'est pas arbitraire de considérer l'opposition comme mal fondée lorsque la « contre-preuve » fournie par le poursuivant laisse subsister un doute sur l'exactitude des documents prétendument libératoires fournis par le débiteur (VEUILLET, La mainlevée de l'opposition, 2017, n. 107 et 110, ad art. 82 LP). En matière de séquestre et en relation avec la vraisemblance de l'existence d'une créance, le Tribunal fédéral a eu l'occasion de relever que si les conditions posées</w:t>
      </w:r>
    </w:p>
    <w:p>
      <w:r>
        <w:t>- 7/11 -</w:t>
      </w:r>
    </w:p>
    <w:p>
      <w:r>
        <w:t>C/25891/2020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(ACJC/189/2021 du 11 février 2021 consid. 3.2; ACJC/1858/2020 du 22 décembre 2020 consid. 2.3;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Le prononcé de mainlevée ne sortit que des effets de droit des poursuites et ne fonde pas l'exception de chose jugée quant à l'existence de la créance (ATF 143 III 564 consid. 4.1; 136 III 583 consid. 2.3 et les références). La décision du juge de la mainlevée provisoire ne prive pas les parties du droit de soumettre à nouveau la question litigieuse au juge ordinaire (art. 79 et 83 al. 2 LP; ATF 136 III 528 consid. 3.2; arrêts du Tribunal fédéral 5A_946/2020 du 8 février 2021 consid. 3.1; 5A_773/2020 précité consid. 3.1 et les références).</w:t>
      </w:r>
    </w:p>
    <w:p>
      <w:r>
        <w:rPr>
          <w:b/>
        </w:rPr>
        <w:t>E. 2.1.2</w:t>
      </w:r>
    </w:p>
    <w:p>
      <w:r>
        <w:t>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Elle peut découler du rapprochement de plusieurs pièces, pour autant que les éléments nécessaires en résultent (ATF 139 III 297 consid. 2.3.1; 136 III 627 consid. 2; 132 III 480 consid. 4.1 et les références). Un contrat écrit stipulant une peine conventionnelle (art. 160 CO) constitue, avec la preuve de l'inexécution de la prestation promise, une reconnaissance de dette (arrêt du Tribunal fédéral 5A_867/2018 du 4 mars 2019 consid. 4.1.1 et les références, publié in mp 2019 p. 230). ll est largement admis par la doctrine et la jurisprudence cantonale que le débiteur peut toutefois faire valoir que la peine est excessive au sens de l'art. 163 al. 3 CO, à tout le moins lorsque la clause pénale est manifestement exagérée. Le Tribunal fédéral a également fait mention, sans</w:t>
      </w:r>
    </w:p>
    <w:p>
      <w:r>
        <w:t>- 8/11 -</w:t>
      </w:r>
    </w:p>
    <w:p>
      <w:r>
        <w:t>C/25891/2020 autre développement, de cette exception (arrêt du Tribunal fédéral 5A_867/2018 du 4 mars 2019 consid. 4.4). Le point de savoir si, dans un tel cas, la mainlevée doit être refusée pour l'entier de la peine réclamée ou si une réduction peut être effectuée par le juge de la mainlevée est controversé et n'a à ce jour pas été tranché (arrêts du Tribunal fédéral 5A_946/2020 précité consid. 3.2; 5A_867/2018 précité consid. 4.4; 5A_114/2014 du 24 juillet 2014 consid. 3.4 et 3.5).</w:t>
      </w:r>
    </w:p>
    <w:p>
      <w:r>
        <w:rPr>
          <w:b/>
        </w:rPr>
        <w:t>E. 2.1.3</w:t>
      </w:r>
    </w:p>
    <w:p>
      <w:r>
        <w:t>Le Tribunal fédéral qualifie le contrat d'enseignement de contrat mixte auquel les règles du mandat sont en principe applicables, et en particulier l'art. 404 CO qui a trait au pouvoir pour chaque partie de résilier unilatéralement le mandat (arrêts du Tribunal fédéral 4A_601/2015 du 19 avril 2016 consid. 1.2.1; 4A_141/2011 du 6 juillet 2011 consid. 2.2; 4A_237/2008 du 29 juillet 2008 consid. 3.2).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(cf. ATF 104 II 108 consid. 4 p.115 ss; arrêt du Tribunal fédéral 4A_284/2013 du 13 février 2014 consid. 3.5.1). Malgré les critiques de la doctrine, le Tribunal fédéral a maintenu cette jurisprudence (ATF 115 II 464 consid. 2a p.466 s.; arrêts du Tribunal fédéral 4A_284/2013 du 13 février 2014 précité, ibidem; 4A_141/2011 du 6 juillet 2011 consid. 2.2 et 2.3 et les références). Pour trancher la question de savoir si, en fonction de la durée de l'obligation des parties, l'application des dispositions du droit du mandat semble admissible, il faut avant tout prendre en compte si, d'après la nature du contrat, il est indispensable qu'il existe un rapport de confiance entre les parties, lequel revêt une importance particulière pour ces dernières (arrêts du Tribunal fédéral 4A_284/2013 du 13 février 2014 précité, consid. 3.5.1 in fine; 4C.24/1989 du 24 avril 1990 consid. 2c). L'art. 404 al. 2 CO prévoit que la partie qui révoque ou répudie le contrat en temps inopportun doit indemniser l'autre du dommage qu'elle lui cause. Pour que l'autre partie puisse actionner en paiement de dommages-intérêts celle qui a résilié le mandat, deux conditions doivent être réunies: l'absence de motifs sérieux de résiliation et la survenance d'un dommage pour la partie qui subit la résiliation en raison des dispositions qu'elle a prises pour l'exécution de son mandat (ATF 110 II 380 consid. 3b; arrêt du Tribunal fédéral 4C.78/2007 du 9 janvier 2008 consid. 5.4). Autrement dit, il n'y a pas de résiliation du mandat en temps inopportun si le mandataire a donné au mandant des raisons fondées pour mettre fin au contrat (ATF 109 II 462 consid. 4c et l'arrêt cité).</w:t>
      </w:r>
    </w:p>
    <w:p>
      <w:r>
        <w:t>- 9/11 -</w:t>
      </w:r>
    </w:p>
    <w:p>
      <w:r>
        <w:t>C/25891/2020 Pour que l'art. 404 al. 2 CO soit applicable, il faut donc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(cf. ATF 134 II 297 consid. 5.2; arrêts du Tribunal fédéral 4A_680/2016 du 12 juillet 2017 consid. 3.1 et les références citées; 4A_36/2013 du 4 juin 2013 consid. 2.5). Il faut apprécier si on peut raisonnablement, selon la bonne foi (art. 2 CC) exiger la continuation du contrat (WERRO, in Commentaire romand CO I, 2ème éd. 2012, n. 12 ad art 404 CO). Il a déjà été jugé qu'un contrat d'enseignement est résilié en temps inopportun au sens de l'art. 404 al. 2 CO si la résiliation a lieu au milieu d'un semestre (arrêt du Tribunal fédéral 4A_141/2011 du 6 juillet 2011 précité consid. 2.4).</w:t>
      </w:r>
    </w:p>
    <w:p>
      <w:r>
        <w:rPr>
          <w:b/>
        </w:rPr>
        <w:t>E. 2.2</w:t>
      </w:r>
    </w:p>
    <w:p>
      <w:r>
        <w:t>En l'espèce, il est admis que les parties ont conclu un contrat d'enseignement et qu'elles ont intégré dans les conditions générales faisant partie intégrante de leur convention une clause pénale. Celle-ci prévoyait qu'en cas de résiliation du contrat d'enseignement par le recourant entre le premier jour de la rentrée et le 31 janvier inclus, l'écolage et les autres frais étaient intégralement dus jusqu'au 31 janvier. Il est également constant que le contrat a été résilié le 30 octobre 2019, soit durant la période précitée. La licéité d'une peine conventionnelle dans ce type de contrat a par ailleurs été admise par le Tribunal fédéral. Dès lors, le contrat vaut titre de mainlevée provisoire s'agissant de la peine conventionnelle convenue. Le recourant ne conteste pas que la résiliation était temporellement inopportune. Il ne prétend pas non plus que la peine conventionnelle serait excessive. Il soutient qu'il ne doit pas la peine conventionnelle convenue, au motif que l'intimée aurait mal exécuté sa prestation découlant du contrat d'écolage. Il fait ainsi valoir qu'il pouvait se prévaloir de motifs sérieux pour résilier le contrat d'écolage. Par conséquent, l'intimée n'aurait droit à aucune indemnité, que ce soit sur la base de l'art. 404 al. 2 CO ou de la clause pénale contenue au ch. 2 de ses conditions générales. Les éléments fournis par le recourant (cf. ci-dessus consid. 2), dont la plupart constituent de simples allégations de partie et dont certains ne sont pas recevables, ne suffisent pas à rendre vraisemblable l'existence de justes motifs de résiliation immédiate. L'épisode relatif aux tensions entre le fils du recourant et l'élève dénommé F______ - sur lequel les explications des parties divergent -, ainsi que l'épisode de la bâche de recouvrement de la piscine - isolé et n'ayant entraîné aucune conséquence - ne sont pas suffisants à cette fin. En toute hypothèse, l'examen de la question litigieuse implique l'exercice d'un pouvoir d'appréciation. Une telle démarche excède le pouvoir de cognition</w:t>
      </w:r>
    </w:p>
    <w:p>
      <w:r>
        <w:t>- 10/11 -</w:t>
      </w:r>
    </w:p>
    <w:p>
      <w:r>
        <w:t>C/25891/2020 restreint du juge de la mainlevée, dès lors que l'instruction des questions factuelles correspondantes est incompatible avec la nature documentaire de la procédure de mainlevée.</w:t>
      </w:r>
    </w:p>
    <w:p>
      <w:r>
        <w:t>Le recours sera donc rejeté en tant qu'il est dirigé contre le prononcé de la mainlevée provisoire.</w:t>
      </w:r>
    </w:p>
    <w:p>
      <w:r>
        <w:rPr>
          <w:b/>
        </w:rPr>
        <w:t>E. 3.1</w:t>
      </w:r>
    </w:p>
    <w:p>
      <w:r>
        <w:t>Le montant des frais judiciaires et dépens de première instance mis à la charge de la recourante n'est à juste titre pas contesté.</w:t>
      </w:r>
    </w:p>
    <w:p>
      <w:r>
        <w:t>Le recours sera donc intégralement rejeté.</w:t>
      </w:r>
    </w:p>
    <w:p>
      <w:r>
        <w:rPr>
          <w:b/>
        </w:rPr>
        <w:t>E. 3.2</w:t>
      </w:r>
    </w:p>
    <w:p>
      <w:r>
        <w:t>Les frais judiciaires du recours, y compris de la décision sur effet suspensif, seront arrêtés à 450 fr. (art. 48 et 61 OELP) et compensés avec l'avance fournie, laquelle reste acquise à l'Etat de Genève (art. 111 al. 1 CPC). Ils seront mis à la charge du recourant, qui succombe (art. 106 al. 1 CPC).</w:t>
      </w:r>
    </w:p>
    <w:p>
      <w:r>
        <w:t>Le recourant sera en outre condamné à verser à l'intimée 350 fr. de dépens de recours, débours et TVA compris (art. 85, 89 et 90 RTFMC; art. 25 et 26 LaCC). * * * * *</w:t>
      </w:r>
    </w:p>
    <w:p>
      <w:r>
        <w:t>- 11/11 -</w:t>
      </w:r>
    </w:p>
    <w:p>
      <w:r>
        <w:t>C/25891/2020 PAR CES MOTIFS, La Chambre civile : A la forme : Déclare recevable le recours interjeté le 23 avril 2021 par A______ contre le jugement JTPI/4632/2021 rendu le 12 avril 2021 par le Tribunal de première instance dans la cause C/25891/2020-22 SML. Au fond : Le rejette. Déboute les parties de toutes autres conclusions. Sur les frais : Arrête les frais judiciaires de recours à 450 fr., les met à la charge de A______ et les compense avec l'avance fournie, qui demeure acquise à l'Etat de Genève. Condamne A______ à verser à B______ SA 350 fr.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