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ACJC/862/2017 vom 11. Juli 2017</w:t>
      </w:r>
    </w:p>
    <w:p>
      <w:r>
        <w:t>GE Cour de justice, 2017-07-11, FR</w:t>
      </w:r>
    </w:p>
    <w:p>
      <w:r>
        <w:rPr>
          <w:b/>
        </w:rPr>
        <w:t xml:space="preserve">Quelle: </w:t>
      </w:r>
      <w:r>
        <w:t>https://mcp.opencaselaw.ch/entscheid/ge_gerichte_ACJC_862_2017</w:t>
      </w:r>
    </w:p>
    <w:p>
      <w:r>
        <w:t>FR: GE_GERICHTE ACJC/862/2017 du 11 juillet 2017</w:t>
      </w:r>
    </w:p>
    <w:p>
      <w:r>
        <w:t>IT: GE_GERICHTE ACJC/862/2017 del 11 luglio 2017</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w:t>
      </w:r>
    </w:p>
    <w:p>
      <w:r>
        <w:t>Déposé selon la forme et dans le délai prescrits, le recours est recevable.</w:t>
      </w:r>
    </w:p>
    <w:p>
      <w:r>
        <w:rPr>
          <w:b/>
        </w:rPr>
        <w:t>E. 1.3</w:t>
      </w:r>
    </w:p>
    <w:p>
      <w:r>
        <w:t>Au stade de la requête et de l'ordonnance de séquestre, la procédure est unilatérale et le débiteur n'est pas entendu (art. 272 LP; ATF 133 III 589 consid. 1; HOHL, op. cit., n. 1637). Dans le cadre du recours contre l'ordonnance de refus de séquestre, la procédure conserve ce caractère unilatéral, car, pour assurer son efficacité, le séquestre doit être exécuté à l'improviste; partant, il n'y a pas lieu d'inviter B_____ à présenter ses observations, ce qui ne constitue pas une violation de son droit d'être entendue (ATF 107 III 29 consid. 2 et 3; arrêts du Tribunal fédéral 5A_344/2010 du 8 juin 2010 consid. 5; 5A_279/2010 du 24 juin 2010 consid. 4). L'art. 322 CPC est par conséquent inapplicable dans un tel cas.</w:t>
      </w:r>
    </w:p>
    <w:p>
      <w:r>
        <w:rPr>
          <w:b/>
        </w:rPr>
        <w:t>E. 1.4</w:t>
      </w:r>
    </w:p>
    <w:p>
      <w:r>
        <w:t>Le recours est recevable pour violation du droit et pour constatation manifestement inexacte des faits (art. 320 CPC). L'autorité a un plein pouvoir d'examen en droit, mais un pouvoir limité à l'arbitraire en fait (HOHL, op. cit., n. 2307).</w:t>
      </w:r>
    </w:p>
    <w:p>
      <w:r>
        <w:t>- 4/8 -</w:t>
      </w:r>
    </w:p>
    <w:p>
      <w:r>
        <w:t>C/11548/2017</w:t>
      </w:r>
    </w:p>
    <w:p>
      <w:r>
        <w:rPr>
          <w:b/>
        </w:rPr>
        <w:t>E. 1.5</w:t>
      </w:r>
    </w:p>
    <w:p>
      <w:r>
        <w:t>La procédure de séquestre est soumise dans toutes ses phases à la maxime de disposition et à la maxime des débats (art. 58 al. 2 CPC; art. 255 CPC a contrario).</w:t>
      </w:r>
    </w:p>
    <w:p>
      <w:r>
        <w:rPr>
          <w:b/>
        </w:rPr>
        <w:t>E. 2.1</w:t>
      </w:r>
    </w:p>
    <w:p>
      <w:r>
        <w:t>Le juge du séquestre doit vérifier d'office sa compétence à raison du lieu (JEANDIN/LEMBO, Le séquestre civil et la localisation des avoirs bancaires, in Journée 2006 de droit bancaire et financier, p. 22). Le séquestre est autorisé par le juge du lieu où se trouvent les biens à séquestrer (art. 272 al. 1 LP). Les créances non incorporées dans des papiers-valeurs sont en principe séquestrées au domicile de leur titulaire. Si celui-ci - comme en l'espèce - n'est pas domicilié en Suisse, la créance est séquestrée au domicile ou au siège du tiers débiteur en Suisse. Quand le débiteur (séquestré)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non publié 5P.55/2003; ATF 128 III 473 consid. p. 474 et les citations; ATF 107 III 147 et les arrêts cités), à défaut de quoi le séquestre porterait sur des droits patrimoniaux situés hors de la juridiction du magistrat saisi, ce qui est exclu (ATF 118 III 7 consid. 4). Certains auteurs de doctrine estiment que cette jurisprudence ne correspond plus à la réalité économique et considèrent que le créancier devrait avoir le choix d'agir au for du siège de la banque ou à celui du siège de la succursale (STOFFEL, in BSK SchKG II, 2ème éd. 2010, n. 36 ad art. 272 LP et les références citées; JEANDIN/LEMBO, op. cit., p. 33).</w:t>
      </w:r>
    </w:p>
    <w:p>
      <w:r>
        <w:rPr>
          <w:b/>
        </w:rPr>
        <w:t>E. 2.2</w:t>
      </w:r>
    </w:p>
    <w:p>
      <w:r>
        <w:t>En l'espèce, le Tribunal a relevé à juste titre que les comptes visés par le séquestre requis par la recourante se trouvent auprès de la succursale zurichoise de D_____. Au vu des principes jurisprudentiels rappelés ci-dessus, le juge du séquestre compétent ratione loci devrait en principe être le juge zurichois. Le Tribunal n'a pas examiné si les critiques de la doctrine à propos des principes précités étaient fondées, dans la mesure où il a laissé la question de sa compétence indécise et rejeté la requête de séquestre. La Cour en fera de même, le recours devant de toute façon être rejeté pour les raisons exposées ci-dessous.</w:t>
      </w:r>
    </w:p>
    <w:p>
      <w:r>
        <w:rPr>
          <w:b/>
        </w:rPr>
        <w:t>E. 3</w:t>
      </w:r>
    </w:p>
    <w:p>
      <w:r>
        <w:t>La recourante fait grief au Tribunal de ne pas avoir retenu qu'elle était titulaire d'une créance exigible à l'encontre de B_____.</w:t>
      </w:r>
    </w:p>
    <w:p>
      <w:r>
        <w:t>- 5/8 -</w:t>
      </w:r>
    </w:p>
    <w:p>
      <w:r>
        <w:t>C/11548/2017</w:t>
      </w:r>
    </w:p>
    <w:p>
      <w:r>
        <w:rPr>
          <w:b/>
        </w:rPr>
        <w:t>E. 3.1.1</w:t>
      </w:r>
    </w:p>
    <w:p>
      <w:r>
        <w:t>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w:t>
      </w:r>
    </w:p>
    <w:p>
      <w:r>
        <w:rPr>
          <w:b/>
        </w:rPr>
        <w:t>E. 3.1.2</w:t>
      </w:r>
    </w:p>
    <w:p>
      <w:r>
        <w:t>Le juge du séquestre statue en se basant sur la simple vraisemblance des faits et après un examen sommaire du droit (ATF 138 III 232 consid. 4.1.1 et les références citées;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et les références citées; arrêt du Tribunal fédéral 5A_877/2011 du 5 mars 2012 consid. 2.1).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arrêts du Tribunal fédéral 5A_893/2013 du 18 février 2014 consid. 3; 5A_877/2011 du 5 mars 2012 consid. 2.1).</w:t>
      </w:r>
    </w:p>
    <w:p>
      <w:r>
        <w:rPr>
          <w:b/>
        </w:rPr>
        <w:t>E. 3.1.3</w:t>
      </w:r>
    </w:p>
    <w:p>
      <w:r>
        <w:t>Dans toute la mesure du possible, les valeurs patrimoniales séquestrées sont placées de manière que le placement soit sûr, qu'elles ne se déprécient pas et qu'elles produisent un rendement (art. 1 de l'Ordonnance sur le placement des valeurs patrimoniales séquestrées, RS 312.057).</w:t>
      </w:r>
    </w:p>
    <w:p>
      <w:r>
        <w:rPr>
          <w:b/>
        </w:rPr>
        <w:t>E. 3.2</w:t>
      </w:r>
    </w:p>
    <w:p>
      <w:r>
        <w:t>En l'espèce, la recourante allègue être titulaire d'une créance d'honoraires à hauteur de 1'214'938 fr. 06 à l'encontre de B_____. Elle fonde cette créance, d'une part, sur le contrat de gestion de fortune (Portfolio Management Mandate) du 10 novembre 2006, lequel lui donnait droit à une rémunération annuelle correspondant à 1% des avoirs sous gestion, et, d'autre part, sur des factures trimestrielles qu'elle a émises pour les services qu'elle allègue avoir rendus en vertu du contrat précité, entre le 31 décembre 2007 et le 31 mars 2016.</w:t>
      </w:r>
    </w:p>
    <w:p>
      <w:r>
        <w:t>- 6/8 -</w:t>
      </w:r>
    </w:p>
    <w:p>
      <w:r>
        <w:t>C/11548/2017 Les éléments du dossier ne sont toutefois pas propres à fonder la conviction que la prétention de la requérante existe pour le montant énoncé et qu'elle est exigible. En effet, il n'est pas vraisemblable que la recourante a réellement fourni les prestations dont elle était débitrice en vertu du contrat de gestion de fortune du 10 novembre 2006. Comme l'a retenu à juste titre le Tribunal, les comptes de B_____ ont été bloqués peu après la conclusion dudit contrat, au niveau interne par la banque, puis dans le cadre d'une procédure pénale. Dans ce contexte, on ne conçoit pas que la banque dépositaire ait accepté d'exécuter les instructions de la recourante, qui agissait comme gérante de fortune externe pour le compte de B_____, sans avoir obtenu au préalable l'accord exprès des autorités de poursuite alors en charge de la procédure pénale. Or, la recourante n'allègue ni a fortiori ne démontre que lesdites autorités auraient donné un tel accord à D_____. C'est en vain que la recourante invoque l'art. 1 de l'Ordonnance sur le placement des valeurs patrimoniales séquestrées, puisqu'il ne découle pas de cette disposition ni du reste de l'ordonnance que la recourante aurait été autorisée ex lege à gérer les comptes litigieux malgré le séquestre pénal qui les frappait. Tout au plus, aurait-on pu tenir pour vraisemblable que la recourante a pu gérer les comptes de B_____ pendant la période allant du 31 décembre 2006 au blocage des comptes, soit au 25 juin 2007. Toutefois, la recourante ne précise pas le montant exact des honoraires auxquels elle pouvait prétendre pour l'activité déployée pendant cette période, de sorte qu'il n'y a pas lieu de s'y arrêter. En outre, le fait que la recourante n'ait pas réclamé ni perçu d'honoraires pendant une période de près de 10 ans tend à confirmer que la recourante n'a pas fourni les services qu'elle allègue. La recourante tente de justifier cette situation en arguant, en vain, qu'elle ne pouvait pas débiter ses honoraires des comptes litigieux au vu de leur séquestre pénal. En effet, si les autorités pénales avaient autorisé la recourante à gérer lesdits comptes, celle-ci aurait, selon toute vraisemblance, également obtenu l'autorisation de percevoir des honoraires pour cette activité. Dans ces circonstances, il n'est pas vraisemblable que la recourante ait acquis le droit de percevoir une rémunération en vertu du contrat du 10 novembre 2006. Les factures trimestrielles émises par la recourante ne sont pas propres à modifier cette appréciation. Par ailleurs, le fait que B_____ ait indiqué, dans son courrier de résiliation du 1er juillet 2016, qu'un plan de rémunération (remuneration schedule) serait discuté ne suffit pas à retenir que B_____ a reconnu être la débitrice de la recourante à hauteur de la créance alléguée dans la présente procédure.</w:t>
      </w:r>
    </w:p>
    <w:p>
      <w:r>
        <w:t>- 7/8 -</w:t>
      </w:r>
    </w:p>
    <w:p>
      <w:r>
        <w:t>C/11548/2017 En définitive, c'est à bon droit que le Tribunal a considéré que l'exigibilité de la dette ou son montant n'avaient pas été rendus vraisemblables et qu'il a rejeté la requête de séquestre. Partant, le recours sera rejeté.</w:t>
      </w:r>
    </w:p>
    <w:p>
      <w:r>
        <w:rPr>
          <w:b/>
        </w:rPr>
        <w:t>E. 4</w:t>
      </w:r>
    </w:p>
    <w:p>
      <w:r>
        <w:t>La recourante, qui succombe, sera condamnée aux frais du recours (art. 106 al. 1 CPC), fixés à 2'250 fr. (art. 26 et 38 RTFMC) et compensés avec l'avance de frais de même montant fournie par ses soins, qui reste acquise à l'Etat de Genève (art. 111 al. 1 CPC). * * * * *</w:t>
      </w:r>
    </w:p>
    <w:p>
      <w:r>
        <w:t>- 8/8 -</w:t>
      </w:r>
    </w:p>
    <w:p>
      <w:r>
        <w:t>C/11548/2017 PAR CES MOTIFS, La Chambre civile : A la forme : Déclare recevable le recours interjeté le 6 juin 2017 par A_____ contre l'ordonnance SQ/595/2017 rendue le 26 mai 2017 par le Tribunal de première instance dans la cause C/11548/2017-2 SQP. Au fond : Le rejette. Déboute les parties de toutes autres conclusions. Sur les frais : Arrête les frais judiciaires à 2'250 fr., les met à la charge de A_____ et les compense avec l'avance fournie, qui reste acquise à l'Etat de Genève.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