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ACJC/861/2021 vom 2. Juli 2021</w:t>
      </w:r>
    </w:p>
    <w:p>
      <w:r>
        <w:t>GE Cour de justice, 2021-07-02, FR</w:t>
      </w:r>
    </w:p>
    <w:p>
      <w:r>
        <w:rPr>
          <w:b/>
        </w:rPr>
        <w:t xml:space="preserve">Quelle: </w:t>
      </w:r>
      <w:r>
        <w:t>https://mcp.opencaselaw.ch/entscheid/ge_gerichte_ACJC_861_2021</w:t>
      </w:r>
    </w:p>
    <w:p>
      <w:r>
        <w:t>FR: GE_GERICHTE ACJC/861/2021 du 2 juillet 2021</w:t>
      </w:r>
    </w:p>
    <w:p>
      <w:r>
        <w:t>IT: GE_GERICHTE ACJC/861/2021 del 2 luglio 2021</w:t>
      </w:r>
    </w:p>
    <w:p>
      <w:pPr>
        <w:pStyle w:val="Heading2"/>
      </w:pPr>
      <w:r>
        <w:t>Erwägungen</w:t>
      </w:r>
    </w:p>
    <w:p>
      <w:r>
        <w:rPr>
          <w:b/>
        </w:rPr>
        <w:t>E. 1.1</w:t>
      </w:r>
    </w:p>
    <w:p>
      <w:r>
        <w:t>L'appel est recevable pour avoir été interjeté auprès de l'autorité compétente (art. 120 al. 1 let. a LOJ), dans le délai utile de dix jours (art. 142 al. 1 et 314 al. 1 CPC) et selon la forme prescrite par la loi (art. 130, 131 et 311 al. 1 CPC), contre une décision rendue sur mesures provisionnelles (art. 308 al. 1 let. b CPC) dans une affaire de nature non pécuniaire dans son ensemble en première instance puisqu'elle portait notamment sur les droits parentaux (parmi plusieurs : arrêt du Tribunal fédéral 5A_433/2020 du</w:t>
      </w:r>
    </w:p>
    <w:p>
      <w:r>
        <w:t>- 8/20 -</w:t>
      </w:r>
    </w:p>
    <w:p>
      <w:r>
        <w:t>C/7864/2020 15 décembre 2020 consid. 1), mais dont la valeur litigieuse des conclusions pécuniaires est, en tout état, supérieure à 10'000 fr. (art. 91 al. 1, 92 al. 2 et 308 al. 2 CPC).</w:t>
      </w:r>
    </w:p>
    <w:p>
      <w:r>
        <w:rPr>
          <w:b/>
        </w:rPr>
        <w:t>E. 1.2</w:t>
      </w:r>
    </w:p>
    <w:p>
      <w:r>
        <w:t>Le mémoire de réponse est également recevable pour avoir été déposé dans le délai et la forme prescrits par la loi (art 312 al. 2 et 314 al. 1 CPC). Il en va de même des mémoires de réplique et duplique des parties (art. 316 al. 2 CPC ; sur le droit à la réplique spontanée : cf. ATF 146 III 97 consid. 3.4.1 et les références citées).</w:t>
      </w:r>
    </w:p>
    <w:p>
      <w:r>
        <w:rPr>
          <w:b/>
        </w:rPr>
        <w:t>E. 1.3</w:t>
      </w:r>
    </w:p>
    <w:p>
      <w:r>
        <w:t>La Cour revoit la cause avec un plein pouvoir d'examen (art. 310 CPC). Les mesures provisionnelles étant soumises à la procédure sommaire (art. 271 let. a CPC, applicable par renvoi de l'art. 276 al. 1 CPC), avec administration restreinte des moyens de preuve, la cognition de la Cour est limitée à la simple vraisemblance des faits et à un examen sommaire du droit, l'exigence de célérité étant privilégiée par rapport à celle de sécurité (ATF 127 III 474 consid. 2b/bb, in JdT 2002 I p. 352 ; arrêt du Tribunal fédéral 5A_863/2014 du 16 mars 2015 consid. 1.4).</w:t>
      </w:r>
    </w:p>
    <w:p>
      <w:r>
        <w:rPr>
          <w:b/>
        </w:rPr>
        <w:t>E. 1.4</w:t>
      </w:r>
    </w:p>
    <w:p>
      <w:r>
        <w:t>La présente cause est soumise aux maximes d'office et inquisitoire illimitée en tant qu'elle concerne le sort d'enfants mineurs et la contribution d'entretien due à ceux-ci (art. 296 al. 1 et 3 CPC). Dans ce cadre, la Cour n'est pas liée par les conclusions des parties (art. 58 al. 2 CPC) ni par l'interdiction de la reformatio in pejus (ATF 138 III 374 consid. 4.3.1 ; arrêt du Tribunal fédéral 5A_757/2013 du 14 juillet 2014 consid. 2.1), et elle établit les faits d'office (art. 55 al. 2 CPC). En revanche,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w:t>
      </w:r>
    </w:p>
    <w:p>
      <w:r>
        <w:rPr>
          <w:b/>
        </w:rPr>
        <w:t>E. 1.5</w:t>
      </w:r>
    </w:p>
    <w:p>
      <w:r>
        <w:t>Les pièces nouvelles produites en appel, utiles à la détermination du sort des mineurs, sont recevables. En effet, lorsque la procédure est soumise, comme ici, à la maxime inquisitoire illimitée, les parties peuvent présenter des nova en appel même si les conditions de l'art. 317 al. 1 CPC ne sont pas réunies (ATF 144 III 349 consid. 4.2.1; plus récemment : arrêt du Tribunal fédéral 5A_685/2018 du 15 mai 2019 consid. 3).</w:t>
      </w:r>
    </w:p>
    <w:p>
      <w:r>
        <w:rPr>
          <w:b/>
        </w:rPr>
        <w:t>E. 2</w:t>
      </w:r>
    </w:p>
    <w:p>
      <w:r>
        <w:t>Le présent litige porte sur la modification, dans le cadre du divorce, des mesures protectrices de l'union conjugale fixées sous forme de convention par les époux et ratifiées par le juge, puis modifiées sans ratification.</w:t>
      </w:r>
    </w:p>
    <w:p>
      <w:r>
        <w:t>- 9/20 -</w:t>
      </w:r>
    </w:p>
    <w:p>
      <w:r>
        <w:t>C/7864/2020</w:t>
      </w:r>
    </w:p>
    <w:p>
      <w:r>
        <w:rPr>
          <w:b/>
        </w:rPr>
        <w:t>E. 2.1.1</w:t>
      </w:r>
    </w:p>
    <w:p>
      <w:r>
        <w:t>Les mesures protectrices de l'union conjugale demeurent en vigueur même au-delà de l'ouverture de la procédure de divorce. Une fois ordonnées, elles ne peuvent être modifiées par le juge des mesures provisionnelles qu'aux conditions de l'art. 179 CC, désormais applicable par renvoi de l'art. 276 al. 1 CPC (ATF 137 III 614 consid. 3.2.2; arrêt du Tribunal fédéral 5A_436/2020 du 5 février 2021 consid. 4.1 et les références citées). Leur modification ne peut ainsi être obtenue que si, depuis leur prononcé, les circonstances de fait ont changé d'une manière essentielle et durable,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(parmi plusieurs : ATF 143 III 617 consid. 3.1 et les références citées; arrêt du Tribunal fédéral 5A_611/2019 du 29 avril 2020 consid. 4.1 et les autres références citées).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 devant lui (ATF 138 III 289 consid. 11.1.1; 137 III 604 consid. 4.1.2, arrêts du Tribunal fédéral 5A_151/2016 du 27 avril 2016 consid. 3.1; 5A_937/2014 du 26 mai 2015 consid. 4 et 6.1.2; 5A_140/2013 du 28 mai 2013 consid. 4.1).</w:t>
      </w:r>
    </w:p>
    <w:p>
      <w:r>
        <w:rPr>
          <w:b/>
        </w:rPr>
        <w:t>E. 2.1.2</w:t>
      </w:r>
    </w:p>
    <w:p>
      <w:r>
        <w:t>Tout comme une convention soumise à approbation peut être conclue sur les conséquences d'un divorce (art. 279 CPC), les conventions alimentaires dans le cadre d'une procédure de protection du mariage (art. 176 al. 1 ch. 1 CC) peuvent également être fondées sur un accord, auquel cas une ratification judiciaire est également requise (ATF 142 III 518 consid. 2.5; arrêts du Tribunal fédéral 5A_1031/2019 du 26 juin 2020 consid. 2.2; 5A_30/2019 du 8 mai 2019 consid. 3.2.1). Les possibilités de modifier des mesures protectrices fixées sous forme de convention des époux ratifiée par le juge sont par conséquent restreintes de la même manière qu'en divorce. Seuls les changements importants concernant des faits qui ont été considérés comme certains lors de la convention peuvent justifier une modification de celle-ci. Les faits incertains au moment de l'accord et qui ont précisément fait l'objet de la transaction (captum controversum)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w:t>
      </w:r>
    </w:p>
    <w:p>
      <w:r>
        <w:t>- 10/20 -</w:t>
      </w:r>
    </w:p>
    <w:p>
      <w:r>
        <w:t>C/7864/2020 moment de l'accord (arrêt du Tribunal fédéral 5A_842/2015 du 26 mai 2016 consid. 2.5 à 2.6, partiellement publié aux ATF 142 III 518). Toutefois, le Tribunal statue sur les questions relatives aux enfants sans être lié par les conclusions des parties (principe officiel; art. 296 al. 3 CPC). Il s'ensuit qu'une convention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 et ce, même lorsqu'elle intervient sous la forme d'une convention de divorce (arrêt du Tribunal fédéral 5A_915/2018 du 15 mai 2019 consid. 3.3). En cas de demande de nouvelles mesures protectrices,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Lorsqu'un époux n'est plus d'accord avec la convention d'entretien en vigueur, il lui incombe de s'adresser au juge des mesures protectrices ou, cas échéant, au juge du divorce, afin de réglementer à nouveau la vie séparée, le juge concerné n'étant pas lié par la convention conclue (arrêt du Tribunal fédéral 5A_372/2014 du 23 octobre 2014 consid. 2.5 et les références citées).</w:t>
      </w:r>
    </w:p>
    <w:p>
      <w:r>
        <w:rPr>
          <w:b/>
        </w:rPr>
        <w:t>E. 2.2</w:t>
      </w:r>
    </w:p>
    <w:p>
      <w:r>
        <w:t>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(parmi plusieurs : arrêt du Tribunal fédéral 5A_204/2018 du 15 juin 2018 consid. 4.1; 5A_65/2013 du 4 septembre 2013 consid. 7; 5A_906/2012 du 18 avril 2013 consid. 6.1.1, publié in FamPra.ch 2013 p. 713; 5A_743/2012 du 6 mars 2013 consid. 6.2.2).</w:t>
      </w:r>
    </w:p>
    <w:p>
      <w:r>
        <w:rPr>
          <w:b/>
        </w:rPr>
        <w:t>E. 2.3</w:t>
      </w:r>
    </w:p>
    <w:p>
      <w:r>
        <w:t>En l'espèce, les modifications requises devant le Tribunal par l'appelant touchent, d'une part, aux questions relatives aux enfants (droit de garde sur D______, relations personnelles entre mère et fils, et contributions d'entretien en faveur de D______ et E______) et, d'autre part, aux questions relatives aux époux (contribution d'entretien en faveur de l'épouse). Il s'ensuit que le Tribunal devait limiter son examen aux conditions de l'art. 179 CC s'agissant des enfants, et examiner, en sus, les conditions restrictives en matière de modification d'une convention s'agissant de la question relative à la contribution d'entretien de l'épouse.</w:t>
      </w:r>
    </w:p>
    <w:p>
      <w:r>
        <w:t>- 11/20 -</w:t>
      </w:r>
    </w:p>
    <w:p>
      <w:r>
        <w:t>C/7864/2020 Conformément aux principes sus-exposés, c'est à bon droit que le Tribunal a considéré que le déménagement du fils chez son père à fin août 2019 constituait un fait nouveau important et durable justifiant qu'il soit entré en matière sur la requête de l'époux en modification de la réglementation antérieure relative au sort des enfants et à leur entretien. C'est également à raison qu'il a retenu que ce changement se situait clairement hors du champ de l'évolution future des évènements, telle qu'elle avait été envisagée, même inconsciemment, par les parties au moment de l'accord s'agissant des questions relatives à la contribution d'entretien de l'épouse. C'est cependant à tort qu'il a considéré que le fait que l'épouse n'ait pas agi en justice pour réclamer le solde des contributions d'entretien fixées par le juge des mesures protectrices équivalait à un accord extra-judiciaire entre époux. Quoi qu'il en soit, le juge saisi d'une (nouvelle) requête tendant la réglementation de la vie séparée, que celle-ci concerne le sort d'enfants mineurs ou les questions relatives aux époux, ne serait pas lié par un accord extra-judiciaire. Ce d'autant plus que l'époux, qui souhaitait ne payer plus que 2'400 fr. par mois pour l'entretien de sa famille, s'est finalement acquitté, à quelques exceptions près, d'une somme de 2'600 fr. par mois de juillet 2016 à juillet 2019, et qu'après le changement de garde de fait sur D______, il a versé à l'épouse la moitié de cette somme, en déduisant ensuite les allocations d'études en 400 fr. par mois. Il s'ensuit que le chiffre 5 du dispositif de l'ordonnance querellée sera annulé et que seul le jugement de mesures protectrices de l'union conjugale du 17 décembre 2014 devra, cas échéant, être modifié en fonction de la nouvelle situation personnelle et familiale des parties telle qu'établie ci-dessous. En outre, dans la mesure où, au moment de leur séparation, ni le Tribunal ni les parties n'ont déterminé quelle part de la "contribution de la famille" en 3'700 fr. par mois était dévolue aux enfants et quelle part était dévolue à la mère, la Cour ne statue pas ultra petita en ventilant de manière différente les différentes pensions des membres de la famille, puisqu'une modification intervenant par hypothèse dans les contributions des enfants aura nécessairement un impact sur la contribution de l'épouse.</w:t>
      </w:r>
    </w:p>
    <w:p>
      <w:r>
        <w:rPr>
          <w:b/>
        </w:rPr>
        <w:t>E. 3</w:t>
      </w:r>
    </w:p>
    <w:p>
      <w:r>
        <w:t>Avant de fixer la contribution à l’entretien de l’épouse, contestée en appel, il convient, en présence d’enfants mineurs, de procéder au calcul permettant de vérifier si la contribution à leur entretien est assurée.</w:t>
      </w:r>
    </w:p>
    <w:p>
      <w:r>
        <w:rPr>
          <w:b/>
        </w:rPr>
        <w:t>E. 3.1</w:t>
      </w:r>
    </w:p>
    <w:p>
      <w:r>
        <w:t>L'entretien de l'enfant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(al. 2). En vertu de l'art. 285 al. 1 CC, la contribution d'entretien doit correspondre aux besoins de l'enfant ainsi qu'à la situation et aux ressources de ses père et mère. Les</w:t>
      </w:r>
    </w:p>
    <w:p>
      <w:r>
        <w:t>- 12/20 -</w:t>
      </w:r>
    </w:p>
    <w:p>
      <w:r>
        <w:t>C/7864/2020 besoins de l'enfant doivent être répartis entre les père et mère en fonction de leurs capacités contributives respectives (ATF 120 II 285 consid. 3). Toutefois, le fait que le parent gardien apporte déjà une part de l'entretien en nature doit être pris en considération (arrêt du Tribunal fédéral 5A_892/2013 du 19 juillet 2014 consid. 4.4.3), la fourniture des soins en nature étant le critère essentiel dans la détermination de l'entretien, en particulier lorsqu'il s'agit de savoir qui doit supporter l'entretien en espèces (arrêt du Tribunal fédéral 5A_583/2018 du 18 janvier 2019 consid. 5.1).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Récemment, dans les arrêts 5A_311/2019 du 11 novembre 2020, 5A_891/2018 du 2 février 2021 et 5A_800/2019 du 9 février 2021 (destinés à la publication), le Tribunal fédéral a arrêté, pour toute la Suisse, une méthode uniforme de fixation de l’entretien qu'il y a lieu d'appliquer de manière immédiate à toutes les affaires pendantes (ATF 142 V 551 consid. 4.1; 135 II consid. 3.2; arrêt du Tribunal fédéral 5A_931/2017 du 1er novembre 2018 consid. 3.1.3).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w:t>
      </w:r>
    </w:p>
    <w:p>
      <w:r>
        <w:t>- 13/20 -</w:t>
      </w:r>
    </w:p>
    <w:p>
      <w:r>
        <w:t>C/7864/2020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une longue période d'éducation un avantage non justifié sur ceux en ayant une courte (consid. 7.2 et 7.3).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La part d'épargne réalisée et prouvée doit être retranchée de l'excédent (consid. 7.3). L'excédent doit être distribué là où les frais réels de l'enfant sont encourus. Ainsi, si l'excédent est également utilisé pour payer des hobbies ou d'autres activités de loisirs pour lesquels un seul parent paie, la part de l'excédent revenant à l'enfant doit être répartie proportionnellement aux coûts des hobbies et des loisirs pris en charge par les parents (JUNGO/ARNDT, Barunterhalt der Kinder : Bedeutung von Obhut und Betreuung der Eltern, in : FamPra.ch 2019 p. 761).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le divorce : Méthodes de calcul, montant, durée et limites, in SJ 2007 II 77, p. 102). Le minimum vital du débirentier doit en principe être préservé (ATF 137 III 59 consid. 4.2).</w:t>
      </w:r>
    </w:p>
    <w:p>
      <w:r>
        <w:t>- 14/20 -</w:t>
      </w:r>
    </w:p>
    <w:p>
      <w:r>
        <w:t>C/7864/2020</w:t>
      </w:r>
    </w:p>
    <w:p>
      <w:r>
        <w:rPr>
          <w:b/>
        </w:rPr>
        <w:t>E. 3.2</w:t>
      </w:r>
    </w:p>
    <w:p>
      <w:r>
        <w:t>En l'espèce, il convient d'apprécier la situation des parties au regard des principes rappelés ci-dessus.</w:t>
      </w:r>
    </w:p>
    <w:p>
      <w:r>
        <w:rPr>
          <w:b/>
        </w:rPr>
        <w:t>E. 3.2.1</w:t>
      </w:r>
    </w:p>
    <w:p>
      <w:r>
        <w:t>L'époux perçoit un salaire mensuel net d'environ 10'500 fr. Il n'est pas établi qu'il percevrait d'autres revenus issus notamment de sociétés dont il serait gérant.</w:t>
      </w:r>
    </w:p>
    <w:p>
      <w:r>
        <w:t>Compte tenu des maximes applicables en présence d'enfants mineurs et des nouveaux principes consacrés par le Tribunal fédéral concernant l'entretien de ceux-ci, il sera tenu compte, dans le budget mensuel de l'époux, de son entretien de base OP (1'350 fr.), de son loyer, part de D______ en 20% déduite (1'828 fr.), de sa prime d'assurance-maladie de base (364 fr. 70), de sa prime LCA (169 fr. 10), de ses frais médicaux non couverts (208 fr. 35) et de ses frais transports publics (13 fr. 75). A ceux-ci peuvent s'ajouter les frais liés à l'un de ses motocycles, l'utilité d'en avoir deux n'ayant pas été démontrée (268 fr. 15 de leasing + 56 fr. 35 d'assurance + 12 fr. 95 d'impôts + 44 fr. de frais de parking), ainsi que des frais d'essence (estimation : 100 fr.).</w:t>
      </w:r>
    </w:p>
    <w:p>
      <w:r>
        <w:t>Il n'y a pas lieu de tenir compte des frais de repas pris hors du domicile, dès lors qu'ils sont déjà compris dans le minimum vital OP.</w:t>
      </w:r>
    </w:p>
    <w:p>
      <w:r>
        <w:t>Il en va de même du prêt contracté par l'époux, puisqu'il l'a été après la séparation des parties.</w:t>
      </w:r>
    </w:p>
    <w:p>
      <w:r>
        <w:t>Non établis, les frais de déplacements professionnels et ceux liés à l'exercice du droit de visite ne seront pas comptabilisés.</w:t>
      </w:r>
    </w:p>
    <w:p>
      <w:r>
        <w:t>En outre, conformément à la nouvelle jurisprudence du Tribunal fédéral, les postes invoqués par l'époux en lien avec les loisirs et les vacances ne pourront être pris en compte qu'au stade de la répartition de l'éventuel excédent de la famille.</w:t>
      </w:r>
    </w:p>
    <w:p>
      <w:r>
        <w:t>Compte tenu de la situation financière positive de la famille, il pourra être tenu compte de la charge fiscale de l'époux. Celle-ci sera estimée au moyen de la calculette disponible sur le site Internet de l'Administration fiscale genevoise une fois que les pensions devant être versées aux différents membres de la famille auront été arrêtées.</w:t>
      </w:r>
    </w:p>
    <w:p>
      <w:r>
        <w:t>A ce stade du raisonnement, les charges totales de l'époux se montent ainsi à 4'415 fr. 35.</w:t>
      </w:r>
    </w:p>
    <w:p>
      <w:r>
        <w:rPr>
          <w:b/>
        </w:rPr>
        <w:t>E. 3.2.2</w:t>
      </w:r>
    </w:p>
    <w:p>
      <w:r>
        <w:t>L'épouse s'est consacrée au ménage du temps de la vie commune. Après la séparation, elle a exercé en qualité de ______ auprès de plusieurs entreprises avant de se faire licencier pour le 30 novembre 2020. Dans la mesure où, en moyenne, sur 18 mois, entre le 1er janvier 2019 et le 30 juin 2020, ses revenus nets moyens se sont élevés à 2'830 fr., ses indemnités de chômage peuvent être estimés à environ 2'250 fr. par mois (80% de 2'830 fr.).</w:t>
      </w:r>
    </w:p>
    <w:p>
      <w:r>
        <w:t>A cela s'ajoutent les revenus tirés de son activité de "______", qui peuvent être estimés, sur la base des allégués de l'épouse non contestés par l'époux, à environ</w:t>
      </w:r>
    </w:p>
    <w:p>
      <w:r>
        <w:t>- 15/20 -</w:t>
      </w:r>
    </w:p>
    <w:p>
      <w:r>
        <w:t>C/7864/2020 520 fr. par mois (440 fr. en période de crise sanitaire et 600 fr. hors période de crise sanitaire).</w:t>
      </w:r>
    </w:p>
    <w:p>
      <w:r>
        <w:t>Les charges mensuelles admissibles de l'épouse comprennent son entretien de base OP (1'350 fr.), son loyer, parking extérieur compris et part de E______ en 20% déduite (1'720 fr.) et ses frais de transports publics (13 fr. 75).</w:t>
      </w:r>
    </w:p>
    <w:p>
      <w:r>
        <w:t>Dans la mesure où la situation financière globale de la famille le permet, il sera également tenu compte de sa prime d'assurance-maladie LCA étant précisé que sa prime LAMal est entièrement couverte par un subside (170 fr. 70), de sa prime d'assurance ménage (34 fr. 35) et de ses frais de véhicule (277 fr. 80 de leasing + 141 fr. 20 de prime d'assurance-voiture + 13 fr. 25 d'impôts). A ceux-ci peuvent s'ajouter des frais d'essence en 100 fr. par mois, à l'instar de ce qui a été retenu pour l'époux. Peuvent également être comptabilisés, pour les mêmes motifs, des frais médicaux non couverts en 208 fr. 35 par mois.</w:t>
      </w:r>
    </w:p>
    <w:p>
      <w:r>
        <w:t>Déjà compris dans le montant de base OP, il ne sera pas tenu compte des frais de SERAFE.</w:t>
      </w:r>
    </w:p>
    <w:p>
      <w:r>
        <w:t>Ne seront en outre pas comptabilisés les frais de place de parc intérieure, dès lors que l'épouse dispose déjà d'une place de parking liée à son bail.</w:t>
      </w:r>
    </w:p>
    <w:p>
      <w:r>
        <w:t>Quant aux frais de formation de nutritionniste, ceux-ci doivent être pris en charge par l'épouse exclusivement, au même titre que le crédit souscrit par l'époux, dont il est seul débiteur.</w:t>
      </w:r>
    </w:p>
    <w:p>
      <w:r>
        <w:t>A ce stade du raisonnement, les charges totales de l'épouse se montent ainsi à 4'029 fr. 40.</w:t>
      </w:r>
    </w:p>
    <w:p>
      <w:r>
        <w:rPr>
          <w:b/>
        </w:rPr>
        <w:t>E. 3.2.3</w:t>
      </w:r>
    </w:p>
    <w:p>
      <w:r>
        <w:t>Le budget de E______ comprend son entretien de base OP (600 fr.), sa part au loyer de sa mère (20% de 2'150 fr. = 430 fr.), ses frais médicaux non remboursés (25 fr.), ses frais de transport (120 fr.), ses frais de fournitures scolaires (30 fr.) et son abonnement téléphonique (50 fr.).</w:t>
      </w:r>
    </w:p>
    <w:p>
      <w:r>
        <w:t>Conformément à la nouvelle jurisprudence du Tribunal fédéral, les postes invoqués par les parties en lien avec les loisirs (argent de poche, loisirs) ne pourront être pris en compte qu'au stade de la répartition de l'éventuel excédent de la famille.</w:t>
      </w:r>
    </w:p>
    <w:p>
      <w:r>
        <w:rPr>
          <w:b/>
        </w:rPr>
        <w:t>E. 3.2.4</w:t>
      </w:r>
    </w:p>
    <w:p>
      <w:r>
        <w:t>D______ poursuit un apprentissage de mécanicien en motocycle débuté le 28 août 2019. Il s'agit d'une formation sur quatre ans, prenant fin le 28 août 2023. Son salaire mensuel brut s'est monté à 400 fr. d'août 2019 à août 2020 et se monte à 650 fr. jusqu'en août 2021.</w:t>
      </w:r>
    </w:p>
    <w:p>
      <w:r>
        <w:t>- 16/20 -</w:t>
      </w:r>
    </w:p>
    <w:p>
      <w:r>
        <w:t>C/7864/2020</w:t>
      </w:r>
    </w:p>
    <w:p>
      <w:r>
        <w:t>Ses charges mensuelles comprennent son entretien de base OP (600 fr.), sa part au logement de son père (457 fr.), sa prime d'assurance-maladie de base (121 fr. 85), sa prime complémentaire (95 fr. 95), ses frais de transports publics (70 fr.), ses frais de véhicule (21 fr. 65 d'assurance + 12 fr. 50 d'impôts + 44 fr. de parking), ses frais de téléphonie (50 fr.), ainsi que ses frais de fournitures scolaires (30 fr.). Comme pour son père, il n'y a pas lieu de tenir compte des frais de repas pris hors du domicile, dès lors qu'ils sont déjà compris dans le minimum vital OP. Non établis, les frais de déplacements professionnels ne seront pas comptabilisés. Ses besoins se montent ainsi à environ 1'500 fr. par mois.</w:t>
      </w:r>
    </w:p>
    <w:p>
      <w:r>
        <w:t>Après déduction de son salaire net en 600 fr. par mois depuis fin août 2020 et des allocations d'études en 400 fr. qu'il perçoit, il subit un déficit de 500 fr. par mois.</w:t>
      </w:r>
    </w:p>
    <w:p>
      <w:r>
        <w:rPr>
          <w:b/>
        </w:rPr>
        <w:t>E. 3.2.5</w:t>
      </w:r>
    </w:p>
    <w:p>
      <w:r>
        <w:t>Il résulte des considérations qui précèdent que le père gagne environ 10'500 fr. nets par mois et voit ses charges s'élever à 4'415 fr. 35, de sorte qu'il bénéficie d'un disponible mensuel d'environ 6'084 fr.65. Les ressources de la mère totalisent quant à elles 2'770 fr. pour des besoins évalués à environ 4'030 fr., de sorte qu'elle subit un déficit mensuel de 1'260 fr. Quant aux enfants, E______ subit un déficit de 955 fr., tandis que D______ subit un déficit de 500 fr.</w:t>
      </w:r>
    </w:p>
    <w:p>
      <w:r>
        <w:t>Il n'est pas contestable qu'au regard des situations financières respectives des parties, les besoins financiers des enfants doivent être intégralement pris en charge par leur père, bien que celui-ci assume la garde de fait de D______. S'agissant des impôts, le versement par le père de la pension précitée en faveur de E______ depuis le 1er septembre 2019 modifie à la baisse sa charge fiscale, qui aurait été de 2'130 fr. par mois en tenant uniquement compte de son statut de conjoint séparé ayant un enfant de moins de 14 ans à charge, de ses revenus, des primes d'assurance-maladie versées et frais médicaux encourus. Grâce à la pension de 955 fr. par mois versée en faveur de sa fille, il voit sa charge fiscale diminuer d'environ 340 fr. par mois. La mère voit, quant à elle, sa charge fiscale passer de 7 fr. par mois en tenant compte uniquement de son statut de conjoint séparé ayant un enfant de moins de 14 ans à charge, de ses revenus, de la prime d'assurance-maladie versée et des frais médicaux encourus, alors qu'elle se monte à 141 fr. par mois en tenant compte de la pension de 955 fr. par mois versée en faveur de sa fille.</w:t>
      </w:r>
    </w:p>
    <w:p>
      <w:r>
        <w:t>Compte tenu de ce qui précède, il ne sera pas tenu compte d'une charge fiscale dans les charges de E______. Par contre, le père sera suivi lorsqu'il allègue s'acquitter d'un montant mensuel de 1'750 fr. pour les impôts. En outre, il sera tenu compte d'un montant de 140 fr. dans les charges de la mère à ce titre, dont le</w:t>
      </w:r>
    </w:p>
    <w:p>
      <w:r>
        <w:t>- 17/20 -</w:t>
      </w:r>
    </w:p>
    <w:p>
      <w:r>
        <w:t>C/7864/2020 déficit se monte dès lors à 1'400 fr. par mois.</w:t>
      </w:r>
    </w:p>
    <w:p>
      <w:r>
        <w:t>Une contribution à l'entretien de E______ de 1'100 fr. par mois permet ainsi de tenir compte de ses frais de loisirs au titre de la répartition de l'excédent. C'est ainsi à juste titre que le Tribunal a donné acte au père de son engagement à verser une contribution de 1'100 fr., allocations familiales non comprises, en faveur de E______, cette somme étant propre à couvrir son entretien. Il s'ensuit qu'après paiement de ses charges, de sa charge fiscale et des pensions dues aux enfants, le père se retrouve avec un solde disponible d'environ 2'881 fr. par mois.</w:t>
      </w:r>
    </w:p>
    <w:p>
      <w:r>
        <w:t>Il pourrait, partant, couvrir le déficit mensuel de l'épouse (1'400 fr. par mois) sans entamer son minimum vital et sans que le montant global des pensions dues dépasse les 3'700 fr. par mois fixés sur mesures protectrices de l'union conjugale. Cependant, l'appelante ayant limité ses conclusions sur mesures provisionnelles à une contribution de 700 fr. par mois dès le 27 (recte : 29) avril 2020, la Cour ne peut fixer une contribution supérieure au titre de son entretien.</w:t>
      </w:r>
    </w:p>
    <w:p>
      <w:r>
        <w:t>Le chiffre 6 du dispositif du jugement sera modifié dans cette mesure.</w:t>
      </w:r>
    </w:p>
    <w:p>
      <w:r>
        <w:rPr>
          <w:b/>
        </w:rPr>
        <w:t>E. 4</w:t>
      </w:r>
    </w:p>
    <w:p>
      <w:r>
        <w:t>L'appelante a également conclu à l'annulation des chiffres 10 et 11 du dispositif du jugement, en reprochant au Tribunal de l'avoir condamnée à rétrocéder avec effet au 1er septembre 2019 les allocations de formation de D______, alors que la requête de mesures provisionnelles a été déposée le 27 (recte : 29) avril 2020 seulement. Ce faisant, le premier juge a omis de prendre en compte le fait que l'intimé avait déjà commencer à compenser les allocations de formation dès le 1er décembre 2019 de manière unilatérale en réduisant la contribution à 900 fr. En tout état aucune modification ne pouvait intervenir avant le 30 (recte : 29) avril 2020, date du dépôt des mesures provisionnelles.</w:t>
      </w:r>
    </w:p>
    <w:p>
      <w:r>
        <w:t>La condamnation à la rétrocession des allocations de formation de l'enfant sur mesures provisionnelles paraît douteuse, en raison de l'absence d'urgence à ce sujet. Cependant, ces allocations étant destinées à l'enfant et non à l'un de ses parents, c'est à juste titre que le Tribunal a indiqué qu'elle devait être rétrocéder dès le transfert de garde dont les parties se sont accordées à dire qu'il datait du 1er septembre 2019.</w:t>
      </w:r>
    </w:p>
    <w:p>
      <w:r>
        <w:t>Les chiffres 10 et 11 du dispositif de l'ordonnance querellée seront dès lors confirmés.</w:t>
      </w:r>
    </w:p>
    <w:p>
      <w:r>
        <w:rPr>
          <w:b/>
        </w:rPr>
        <w:t>E. 5.1</w:t>
      </w:r>
    </w:p>
    <w:p>
      <w:r>
        <w:t>Lorsque l'instance d'appel réforme en tout ou en partie le jugement entrepris, elle se prononce aussi sur les frais de première instance (art. 318 al. 3 CPC).</w:t>
      </w:r>
    </w:p>
    <w:p>
      <w:r>
        <w:t>- 18/20 -</w:t>
      </w:r>
    </w:p>
    <w:p>
      <w:r>
        <w:t>C/7864/2020</w:t>
      </w:r>
    </w:p>
    <w:p>
      <w:r>
        <w:t>Dès lors que ni la quotité ni la répartition des frais judiciaires et des dépens de première instance n'ont été critiquées en appel et que celles-ci ont été arrêtées conformément aux règles légales applicables (art. 95, 96, 104 al. 1, 107 al. 1 let. c CPC; art. 5 et 31 RTFMC), l'ordonnance entreprise sera confirmée sur ces points.</w:t>
      </w:r>
    </w:p>
    <w:p>
      <w:r>
        <w:rPr>
          <w:b/>
        </w:rPr>
        <w:t>E. 5.2</w:t>
      </w:r>
    </w:p>
    <w:p>
      <w:r>
        <w:t>Les frais judiciaires d'appel seront fixés à 800 fr. (art. 95 al. 1 let. a et al. 2, 96, 104 al. 1 et 105 al. 1 CPC ; art. 5, 31 et 35 RTFMC). Pour des motifs d'équité liés à la nature du litige, ils seront répartis à parts égales entre les parties (art. 107 al. 1 let. c CPC). Dans la mesure où l'appelante plaide au bénéfice de l'assistance judiciaire, sa part sera provisoirement laissée à la charge de l'Etat de Genève (art. 122 al. 1 let. b CPC), qui pourra en réclamer le remboursement ultérieur aux conditions de l'art. 123 CPC (cf. art. 19 RAJ). Pour les mêmes motifs, chaque partie supportera ses propres dépens d'appel (art. 107 al. 1 let. c. CPC). * * * * *</w:t>
      </w:r>
    </w:p>
    <w:p>
      <w:r>
        <w:t>- 19/20 -</w:t>
      </w:r>
    </w:p>
    <w:p>
      <w:r>
        <w:t>C/7864/2020 PAR CES MOTIFS, La Chambre civile : A la forme : Déclare recevable l'appel interjeté le 26 octobre 2020 par A______ contre les chiffres 5, 6, 10 et 11 du dispositif de l'ordonnance OTPI/633/2020 rendue le 12 octobre 2020 par le Tribunal de première instance dans la cause C/7864/2020. Au fond : Annule le chiffre 5 du dispositif de l'ordonnance entreprise et, cela fait : Condamne B______ à contribuer à l'entretien de A______ à hauteur de 700 fr. dès le 29 avril 2020. Confirme l'ordonnance querellée pour le surplus. Déboute les parties de toutes autres conclusions. Sur les frais : Arrête les frais judiciaires d'appel à 800 fr., les met à charge des parties par moitié chacune et dit que la part de A______ est laissée provisoirement à la charge de l'Etat de Genève, sous réserve d'une décision de l'assistance judiciaire. Condamne en conséquence B______ à verser à l'Etat de Genève, soit pour lui les Services financiers du Pouvoir judiciaire, la somme de 400 fr. Dit que chaque partie supporte ses propres dépens d'appel. Siégeant : Madame Jocelyne DEVILLE-CHAVANNE, présidente; Madame Verena PEDRAZZINI RIZZI, Madame Nathalie LANDRY-BARTHE, juges; Madame Jessica ATHMOUNI, greffière.</w:t>
      </w:r>
    </w:p>
    <w:p>
      <w:r>
        <w:t>- 20/20 -</w:t>
      </w:r>
    </w:p>
    <w:p>
      <w:r>
        <w:t>C/7864/2020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