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ACJC/861/2014 vom 17. Juli 2014</w:t>
      </w:r>
    </w:p>
    <w:p>
      <w:r>
        <w:t>GE Cour de justice, 2014-07-17, FR</w:t>
      </w:r>
    </w:p>
    <w:p>
      <w:r>
        <w:rPr>
          <w:b/>
        </w:rPr>
        <w:t xml:space="preserve">Quelle: </w:t>
      </w:r>
      <w:r>
        <w:t>https://mcp.opencaselaw.ch/entscheid/ge_gerichte_ACJC_861_2014</w:t>
      </w:r>
    </w:p>
    <w:p>
      <w:r>
        <w:t>FR: GE_GERICHTE ACJC/861/2014 du 17 juillet 2014</w:t>
      </w:r>
    </w:p>
    <w:p>
      <w:r>
        <w:t>IT: GE_GERICHTE ACJC/861/2014 del 17 luglio 2014</w:t>
      </w:r>
    </w:p>
    <w:p>
      <w:pPr>
        <w:pStyle w:val="Heading2"/>
      </w:pPr>
      <w:r>
        <w:t>Erwägungen</w:t>
      </w:r>
    </w:p>
    <w:p>
      <w:r>
        <w:rPr>
          <w:b/>
        </w:rPr>
        <w:t>E. 1.1</w:t>
      </w:r>
    </w:p>
    <w:p>
      <w:r>
        <w:t>L'appel est recevable contre les décisions finales (art. 308 al. 1 let. a CPC) dans les affaires patrimoniales dont la valeur litigieuse, au dernier état des con- clusions de première instance, est de 10'000 fr. au moins (art. 308 al. 2 CPC). Tel est le cas en l'espèce, au vu du mode de calcul du montant de la contribution d'entretien (12'000 fr. x 12 mois x 20 ans, art. 92 al. 2 CPC). Les mesures provisionnelles sont soumises à la procédure sommaire (art. 248 let. d CPC) et le délai d'appel est de dix jours (art. 314 al. 1 CPC). L'appel a été formé dans le délai et selon la forme prescrite par la loi (art. 130, 131, 145 al. 1 let. a, 308 al. 1 let. a et 311 al. 1 CPC). Il est ainsi recevable.</w:t>
      </w:r>
    </w:p>
    <w:p>
      <w:r>
        <w:rPr>
          <w:b/>
        </w:rPr>
        <w:t>E. 1.2</w:t>
      </w:r>
    </w:p>
    <w:p>
      <w:r>
        <w:t>S'agissant d'un appel, la Cour revoit la cause avec un plein pouvoir d'examen (art. 310 CPC). La présente procédure est soumise à la maxime des débats atténuée (art. 277 CPC par renvoi de l'art. 284 al. 3 CPC).</w:t>
      </w:r>
    </w:p>
    <w:p>
      <w:r>
        <w:rPr>
          <w:b/>
        </w:rPr>
        <w:t>E. 2</w:t>
      </w:r>
    </w:p>
    <w:p>
      <w:r>
        <w:t>Les parties ont déposé des chargés de pièces en seconde instance.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nos 68 à 74 déposées à l'appui de l'appel sont irrecevables, car l'appelant aurait pu les soumettre au premier juge. Les pièces nos 1 à 6 de l'intimée déposées avec sa réponse sont irrecevables, car elle aurait pu les produire en première instance. Par identité de motifs, ses pièces nos 1 à 4 qui accompagnent sa duplique sont aussi irrecevables.</w:t>
      </w:r>
    </w:p>
    <w:p>
      <w:r>
        <w:t>Enfin, l'écriture de l'appelant du 21 mai 2014, accompagnée de deux pièces nouvellement produites, est irrecevable, car elle a été déposée après que la cause a été gardée à juger par la Cour de céans.</w:t>
      </w:r>
    </w:p>
    <w:p>
      <w:r>
        <w:t>- 9/13 -</w:t>
      </w:r>
    </w:p>
    <w:p>
      <w:r>
        <w:t>C/19954/2013</w:t>
      </w:r>
    </w:p>
    <w:p>
      <w:r>
        <w:t>Au demeurant, l'écriture et les pièces irrecevables sont sans incidence sur l'issue du litige.</w:t>
      </w:r>
    </w:p>
    <w:p>
      <w:r>
        <w:rPr>
          <w:b/>
        </w:rPr>
        <w:t>E. 3.1</w:t>
      </w:r>
    </w:p>
    <w:p>
      <w:r>
        <w:t>La modification ou la suppression de la contribution d'entretien due à l'ex- conjoint, fixée dans un jugement de divorce, est régie par l'art. 129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131 III 189 consid. 2.7.4; arrêt du Tribunal fédéral 5A_332/2013 du 18 septembre 2013 consid. 3.1).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consid. 11.1.1; 131 III 189 consid. 2.7.4; arrêt du Tribunal fédéral 5A_760/2012 du 27 février 2013 consid. 5.1.1 et les références citées). Une réduction ou une suppression de contributions d'entretien par voie de mesures provisionnelles, dans le cadre d'une action en modification du jugement de divorce, n'est toutefois justifiée qu'en cas d'urgence et en présence de circonstances particulières (ATF 118 II 228 consid. 3b, arrêts du Tribunal fédéral 5A_732/2012 du 4 décembre 2012 consid. 3.2 et 5P.203/2000 du 20 juillet 2000 consid. 3). Sur requête de mesures provisionnelles, tant en première instance qu'en appel,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w:t>
      </w:r>
    </w:p>
    <w:p>
      <w:r>
        <w:rPr>
          <w:b/>
        </w:rPr>
        <w:t>E. 3.2</w:t>
      </w:r>
    </w:p>
    <w:p>
      <w:r>
        <w:t>En l'espèce, les parties ont convenu, par convention de divorce du 27 août 2008 ratifiée par le juge du divorce, que l'appelant verserait une contribution d'entretien à l'intimée de 12'000 fr. par mois payable jusqu'à ce qu'il prenne sa retraite mais en tout état jusqu'au mois d'octobre 2020 (âge légal de la retraite de ce dernier, ch. 7 du dispositif du jugement de divorce et art. III de la convention, clause no 6, 1er §). Elles ont prévu une clause de réduction de cette pension en cas de reprise d'activité lucrative par l'intimée (ch. 8 du dispositif du jugement de divorce et art. III de la convention, clause no 6, 2ème §) et de suppression de la pension en cas de concubinage de l'ex-épouse (ch. 9 du dispositif du jugement de divorce et art. III de la convention, clause no 7). Les parties ont envisagé par ailleurs l'hypothèse "d'un changement radical de la situation professionnelle et financière de l'appelant, tel que perte d'emploi, revenus substantiellement moindres, chômage, invalidité ou autres" (ch. 12 du dispositif du jugement de divorce et art. IV de la convention, clause no 4), indiquant qu'il permettrait de</w:t>
      </w:r>
    </w:p>
    <w:p>
      <w:r>
        <w:t>- 10/13 -</w:t>
      </w:r>
    </w:p>
    <w:p>
      <w:r>
        <w:t>C/19954/2013 provoquer la dissolution anticipée de leur copropriété immobilière avant le terme prévu d'octobre 2017. La contribution d'entretien a été garantie par la conclusion d'une police d'assurance risque pur (ch. 10 du dispositif du jugement de divorce et art. III de la convention, clause no 8). Force est dès lors de retenir, sur mesures provisionnelles, que les parties ont envisagé, lors de leur divorce, l'hypothèse d'une diminution des revenus de l'appelant et qu'elles elles en ont circonscrit l'incidence à la seule possibilité d'une dissolution anticipée de leur copropriété immobilière, à l'exclusion d'une diminution ou suppression de la pension alimentaire. L'appelant n'établit pas et il ne ressort pas du dossier que les circonstances et/ou l'ampleur de la diminution des revenus de l'appelant revêtent un caractère si extraordinaire qu'il se justifierait d'en tenir compte sur mesures provisionnelles. L'appelant n'a pas même produit ses certificats de salaire des années 2007, puis 2009 à 2011, de sorte que l'ampleur réelle de sa différence de situation financière n'est en tout état pas suffisamment établie pour qu'il puisse en être tenu compte sur mesures provisionnelles, même si, de son côté, l'intimée paraît disposée à entrer en matière, sur le plan du principe, sur une réduction de la contribution d'entretien. Enfin, aucune urgence n'est alléguée et démontrée qu'il s'imposerait, au regard de circonstances particulières au demeurant pas établies, de modifier les ch. 7 et 10 du dispositif du jugement de divorce par voie de mesures provisionnelles, que ce soit par une suppression de toute pension ou uniquement de diminution de la pension fixée. Au contraire, il appert que l'appelant a emprunté la voie précitée, envisagée par les parties, ouverte par les ch. 12 et 18 du dispositif du jugement de divorce ratifiant l'art. IV de la convention, clause no 4, en sollicitant du Tribunal l'exécution du jugement de divorce en relation avec une dissolution anticipée de la copropriété immobilière (ch. 12 et 18 du dispositif), litige actuellement pendant devant cette juridiction. Les conditions d'une diminution ou suppression de la pension fixée sur mesures provisionnelles ne sont donc pas réunies. L'ordonnance entreprise sera ainsi confirmée.</w:t>
      </w:r>
    </w:p>
    <w:p>
      <w:r>
        <w:rPr>
          <w:b/>
        </w:rPr>
        <w:t>E. 4</w:t>
      </w:r>
    </w:p>
    <w:p>
      <w:r>
        <w:t>Les frais judiciaires de l'appel seront arrêtés à 2'500 fr. (art. 2, 31 et 37 du Règle- ment genevois du 22 décembre 2010 fixant le tarif des frais en matière civile, RTFMC, E 1 05.10).</w:t>
      </w:r>
    </w:p>
    <w:p>
      <w:r>
        <w:t>- 11/13 -</w:t>
      </w:r>
    </w:p>
    <w:p>
      <w:r>
        <w:t>C/19954/2013 Compte tenu de l'issue du litige, l'appelant sera condamné aux frais d'appel, lesquels seront entièrement compensés avec l'avance de frais versée par l'appelant (art. 111 al. 1 CPC), qui restera acquise à l'Etat. Il ne sera pas alloué de dépens à l’intimée qui a comparu en personne. * * * * *</w:t>
      </w:r>
    </w:p>
    <w:p>
      <w:r>
        <w:t>- 12/13 -</w:t>
      </w:r>
    </w:p>
    <w:p>
      <w:r>
        <w:t>C/19954/2013 PAR CES MOTIFS, La Chambre civile : A la forme : Déclare recevable l'appel interjeté par A______ contre les chiffres 2 et 3 du dispositif de l'ordonnance OTPI/195/2014 rendue le 29 janvier 2014 par le Tribunal de première instance dans la cause C/19954/2013– 6. Au fond : Confirme cette ordonnance. Déboute les parties de toutes autres conclusions. Sur les frais : Arrête les frais judiciaires d'appel à 2'500 fr. Les met à la charge d'A______. Dit qu'ils sont entièrement compensés avec l'avance de frais d'A______, laquelle reste acquise à l'Etat de Genève. Dit que l'appelant supporte ses propres dépens. Siégeant : Monsieur Cédric-Laurent MICHEL, président; Madame Sylvie DROIN, Monsieur Raphaël MARTIN, juges; Madame Nathalie DESCHAMPS, greffière.</w:t>
      </w:r>
    </w:p>
    <w:p>
      <w:r>
        <w:t>Le président : Cédric-Laurent MICHEL</w:t>
      </w:r>
    </w:p>
    <w:p>
      <w:r>
        <w:t>La greffière : Nathalie DESCHAMPS</w:t>
      </w:r>
    </w:p>
    <w:p>
      <w:r>
        <w:t>- 13/13 -</w:t>
      </w:r>
    </w:p>
    <w:p>
      <w:r>
        <w:t>C/19954/2013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au sens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