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ACJC/85/2025 vom 23. Januar 2025</w:t>
      </w:r>
    </w:p>
    <w:p>
      <w:r>
        <w:t>GE Cour de justice, 2025-01-23, FR</w:t>
      </w:r>
    </w:p>
    <w:p>
      <w:r>
        <w:rPr>
          <w:b/>
        </w:rPr>
        <w:t xml:space="preserve">Quelle: </w:t>
      </w:r>
      <w:r>
        <w:t>https://mcp.opencaselaw.ch/entscheid/ge_gerichte_ACJC_85_2025</w:t>
      </w:r>
    </w:p>
    <w:p>
      <w:r>
        <w:t>FR: GE_GERICHTE ACJC/85/2025 du 23 janvier 2025</w:t>
      </w:r>
    </w:p>
    <w:p>
      <w:r>
        <w:t>IT: GE_GERICHTE ACJC/85/2025 del 23 gennaio 2025</w:t>
      </w:r>
    </w:p>
    <w:p>
      <w:pPr>
        <w:pStyle w:val="Heading2"/>
      </w:pPr>
      <w:r>
        <w:t>Erwägungen</w:t>
      </w:r>
    </w:p>
    <w:p>
      <w:r>
        <w:rPr>
          <w:b/>
        </w:rPr>
        <w:t>E. 1.1</w:t>
      </w:r>
    </w:p>
    <w:p>
      <w:r>
        <w:t>S'agissant d'une procédure de mainlevée, seule la voie du recours est ouverte (art. 319 let. b et 309 let. b ch. 3 CPC).</w:t>
      </w:r>
    </w:p>
    <w:p>
      <w:r>
        <w:t>Aux termes de l'art. 321 al. 1 et 2 CPC (l'al. 2 est inchangé sur le point pertinent ici après l'entrée en vigueur des nouvelles dispositions du CPC le 1er janvier 2025 qui le modifie), le recours, écrit et motivé, doit être introduit auprès de l'instance de recours dans les dix jours à compter de la notification de la décision motivée, compte tenu de l'application de la procédure sommaire (art. 251 let. a CPC).</w:t>
      </w:r>
    </w:p>
    <w:p>
      <w:r>
        <w:t>- 4/7 -</w:t>
      </w:r>
    </w:p>
    <w:p>
      <w:r>
        <w:t>C/5859/2024</w:t>
      </w:r>
    </w:p>
    <w:p>
      <w:r>
        <w:t>Le recours est donc recevable.</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PC).</w:t>
      </w:r>
    </w:p>
    <w:p>
      <w:r>
        <w:rPr>
          <w:b/>
        </w:rPr>
        <w:t>E. 2</w:t>
      </w:r>
    </w:p>
    <w:p>
      <w:r>
        <w:t>Les allégations de faits nouvelles des parties sont irrecevables (art. 326 al. 1 CPC), de sorte que la Cour examinera la cause sur la base dossier qui était en main du Tribunal.</w:t>
      </w:r>
    </w:p>
    <w:p>
      <w:r>
        <w:rPr>
          <w:b/>
        </w:rPr>
        <w:t>E. 3</w:t>
      </w:r>
    </w:p>
    <w:p>
      <w:r>
        <w:t>Le recourant fait grief au premier juge d'avoir omis "d'examiner les pièces produites afin de déterminer si l'opposition a[vait] été valablement formée ou pas".</w:t>
      </w:r>
    </w:p>
    <w:p>
      <w:r>
        <w:rPr>
          <w:b/>
        </w:rPr>
        <w:t>E. 3.1.1</w:t>
      </w:r>
    </w:p>
    <w:p>
      <w:r>
        <w:t>Conformément à l'art. 82 al. 1 LP, le créancier dont la poursuite se fonde sur une reconnaissance de dette constatée par acte authentique ou sous seing privé peut requérir la mainlevée provisoire.</w:t>
      </w:r>
    </w:p>
    <w:p>
      <w:r>
        <w:rPr>
          <w:b/>
        </w:rPr>
        <w:t>E. 3.1.2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 du Tribunal fédéral 5A_240/2021 du 13 mars 2022 consid. 3.2).</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 arrêt du Tribunal fédéral 5A_1015/2020 du 30 août 2021 consid. 3.1).</w:t>
      </w:r>
    </w:p>
    <w:p>
      <w:r>
        <w:t>- 5/7 -</w:t>
      </w:r>
    </w:p>
    <w:p>
      <w:r>
        <w:t>C/5859/2024</w:t>
      </w:r>
    </w:p>
    <w:p>
      <w:r>
        <w:rPr>
          <w:b/>
        </w:rPr>
        <w:t>E. 3.1.3</w:t>
      </w:r>
    </w:p>
    <w:p>
      <w:r>
        <w:t>Constitue une reconnaissance de dette au sens de l’art. 82 LP, en particulier, l'acte sous-seing privé, signé par le poursuivi ou son représentant, d'où ressort sa volonté de payer au poursuivant, sans réserve ni condition, une somme d'argent déterminée, ou aisément déterminable et exigible (ATF 149 III 310 consid. 5.2.1.1 ; 148 III 145 consid. 4.1.1; 145 III 20 consid. 4.1.1 ; arrêt du Tribunal fédéral 5A_688/2022 du 23 novembre 2022 consid. 4.1.1). Il peut s'agir soit d'une reconnaissance de dette formelle (art. 17 CO), soit d'un ensemble de pièces dans la mesure où il en ressort les éléments nécessaires (ATF 139 III 297 consid. 2.3.1.).</w:t>
      </w:r>
    </w:p>
    <w:p>
      <w:r>
        <w:t>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 arrêts du Tribunal fédéral 4A_645/2023 du 25 janvier 2024 consid. 3.1 ; 5D_964/2021 du 9 mars 2022 consid. 3.1.1 ; 5D_249/2020 du 1er juillet 2021 consid. 2.1).</w:t>
      </w:r>
    </w:p>
    <w:p>
      <w:r>
        <w:rPr>
          <w:b/>
        </w:rPr>
        <w:t>E. 3.1.4</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rPr>
          <w:b/>
        </w:rPr>
        <w:t>E. 3.2</w:t>
      </w:r>
    </w:p>
    <w:p>
      <w:r>
        <w:t>En l'espèce, il est constant que les parties sont liées par un contrat de bail prévoyant le paiement d'un loyer de 2'090 fr. mensuellement, charges comprises. Il n'est ni contesté ni contestable que le contrat de bail du 12 janvier 2017 vaut reconnaissance de dette pour le prononcé de la mainlevée provisoire.</w:t>
      </w:r>
    </w:p>
    <w:p>
      <w:r>
        <w:t>En première instance, le recourant ne s'est prévalu d'aucun moyen de droit civil apte à infirmer la reconnaissance de dette. En particulier, il n'a pas tenté de rendre vraisemblable qu'il avait versé tout ou partie de l'arriéré de loyer déduit en poursuite, ni même contesté le montant avancé par la bailleresse. Les allégués qu'il forme devant la Cour sont nouveaux et partant irrecevables.</w:t>
      </w:r>
    </w:p>
    <w:p>
      <w:r>
        <w:t>C'est ainsi à juste titre que le Tribunal a prononcé la mainlevée provisoire, de sorte que le recours sera rejeté.</w:t>
      </w:r>
    </w:p>
    <w:p>
      <w:r>
        <w:t>- 6/7 -</w:t>
      </w:r>
    </w:p>
    <w:p>
      <w:r>
        <w:t>C/5859/2024</w:t>
      </w:r>
    </w:p>
    <w:p>
      <w:r>
        <w:rPr>
          <w:b/>
        </w:rPr>
        <w:t>E. 4.1</w:t>
      </w:r>
    </w:p>
    <w:p>
      <w:r>
        <w:t>A juste titre, la quotité des frais judiciaires et des dépens de première instance n'est pas contestée, de sorte que les chiffres 2 et 3 du dispositif du jugement attaqué seront confirmés.</w:t>
      </w:r>
    </w:p>
    <w:p>
      <w:r>
        <w:rPr>
          <w:b/>
        </w:rPr>
        <w:t>E. 4.2</w:t>
      </w:r>
    </w:p>
    <w:p>
      <w:r>
        <w:t>Les frais judiciaires du recours seront arrêtés à 800 fr. (art. 48 et 61 OELP), y compris 200 fr. pour la requête, rejetée, d'effet suspensif, et compensés avec l'avance fournie par le recourant (art. 111 al. 1 aCPC cum art. 407f CPC a contrario), qui demeure acquise à l'Etat de Genève. Ils seront mis à la charge du recourant, qui succombe (art. 106 al. 1 CPC).</w:t>
      </w:r>
    </w:p>
    <w:p>
      <w:r>
        <w:t>Le recourant sera condamné en outre à verser à l'intimée 500 fr., débours et TVA compris, à titre de dépens de recours (art. 84, 85, 89 et 90 RTFMC; art. 25 et 26 LaCC). * * * * *</w:t>
      </w:r>
    </w:p>
    <w:p>
      <w:r>
        <w:t>- 7/7 -</w:t>
      </w:r>
    </w:p>
    <w:p>
      <w:r>
        <w:t>C/5859/2024 PAR CES MOTIFS, La Chambre civile : A la forme : Déclare recevable le recours interjeté le 10 octobre 2024 par A______ contre le jugement JTPI/10397/2024 rendu le 11 septembre 2024 par le Tribunal de première instance dans la cause C/5859/2024-25 SML. Au fond : Le rejette. Déboute les parties de toutes autres conclusions. Sur les frais : Arrête les frais judiciaires de recours à 800 fr., les met à la charge de A______ et les compense avec l'avance versée, qui demeure acquise à l'Etat de Genève. Condamne A______ à verser à B______ ANLAGESTIFTUNG 500 fr. à titre de dépens de recours.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