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ACJC/859/2014 vom 10. März 2014</w:t>
      </w:r>
    </w:p>
    <w:p>
      <w:r>
        <w:t>GE Cour de justice, 2014-03-10, FR</w:t>
      </w:r>
    </w:p>
    <w:p>
      <w:r>
        <w:rPr>
          <w:b/>
        </w:rPr>
        <w:t xml:space="preserve">Quelle: </w:t>
      </w:r>
      <w:r>
        <w:t>https://mcp.opencaselaw.ch/entscheid/ge_gerichte_ACJC_859_2014</w:t>
      </w:r>
    </w:p>
    <w:p>
      <w:r>
        <w:t>FR: GE_GERICHTE ACJC/859/2014 du 10 mars 2014</w:t>
      </w:r>
    </w:p>
    <w:p>
      <w:r>
        <w:t>IT: GE_GERICHTE ACJC/859/2014 del 10 marzo 2014</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et selon la forme prescrite par la loi (art. 311 al. 1 CPC). Il est formé par une partie qui y a intérêt et porte sur des</w:t>
      </w:r>
    </w:p>
    <w:p>
      <w:r>
        <w:t>- 7/16 -</w:t>
      </w:r>
    </w:p>
    <w:p>
      <w:r>
        <w:t>C/23826/2013 conclusions qui, capitalisées selon l'art. 92 al. 2 CPC, sont supérieures à 10'000 fr., de sorte qu'il est recevable.</w:t>
      </w:r>
    </w:p>
    <w:p>
      <w:r>
        <w:rPr>
          <w:b/>
        </w:rPr>
        <w:t>E. 2</w:t>
      </w:r>
    </w:p>
    <w:p>
      <w:r>
        <w:t>La Cour revoit la cause avec un plein pouvoir d'examen (art. 310 CPC) et établit les faits d'office (art. 272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3</w:t>
      </w:r>
    </w:p>
    <w:p>
      <w:r>
        <w:t>Au vu du domicile des époux, le Tribunal est compétent pour connaître du litige (art. 46 et 2 CPC). Le droit suisse est applicable (art. 48 al. 1 et 49 LDIP et art. 4 de la Convention de La Haye du 2 octobre 1973 sur la loi applicable aux obligations alimentaires).</w:t>
      </w:r>
    </w:p>
    <w:p>
      <w:r>
        <w:rPr>
          <w:b/>
        </w:rPr>
        <w:t>E. 4</w:t>
      </w:r>
    </w:p>
    <w:p>
      <w:r>
        <w:t>Les parties produisent des pièces nouvelles en seconde instance.</w:t>
      </w:r>
    </w:p>
    <w:p>
      <w:r>
        <w:rPr>
          <w:b/>
        </w:rPr>
        <w:t>E. 4.1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Dans une procédure sommaire gouvernée par la maxime d'office, le Tribunal fédéral a considéré qu'il n'était pas non plus arbitraire d'appliquer strictement l'art. 317 CPC (arrêts du Tribunal fédéral 5A_807/2012 du 6 février 2013 consid. 5.3; 5A_63/2012 du 20 juin 2012 consid. 2.2).</w:t>
      </w:r>
    </w:p>
    <w:p>
      <w:r>
        <w:rPr>
          <w:b/>
        </w:rPr>
        <w:t>E. 4.2</w:t>
      </w:r>
    </w:p>
    <w:p>
      <w:r>
        <w:t>En l'espèce, les pièces produites par l'appelant pour la première fois en appel concernent des faits survenus après le prononcé du jugement querellé, de sorte qu'elles sont recevables. En revanche, l'attestation produite par l'intimée porte sur des faits s'étant déroulés avant l'introduction des requêtes en mesures protectrices des parties. Dans la mesure où l'épouse n'explique pas en quoi elle aurait été empêchée de produire cette attestation par-devant le première juge et que la</w:t>
      </w:r>
    </w:p>
    <w:p>
      <w:r>
        <w:t>- 8/16 -</w:t>
      </w:r>
    </w:p>
    <w:p>
      <w:r>
        <w:t>C/23826/2013 maxime inquisitoire simple ne fait pas obstacle à une application stricte de l'art. 317 CPC, ladite pièce est irrecevable.</w:t>
      </w:r>
    </w:p>
    <w:p>
      <w:r>
        <w:rPr>
          <w:b/>
        </w:rPr>
        <w:t>E. 5</w:t>
      </w:r>
    </w:p>
    <w:p>
      <w:r>
        <w:t>Le litige porte tout d'abord sur l'attribution de la jouissance exclusive du logement conjugal et du mobilier du ménage.</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5A_710/2009 du 22 février 2010 consid. 3.1, non publié aux ATF 136 III 257; 5A_951/2013 du 27 mars 2014 consid. 4.1). Des motifs d'ordre économique ne sont en principe pas pertinents, à moins que les ressources financières des époux ne leur permettent pas de conserver le logement (arrêt du Tribunal fédéral 5A_575/2011 du 12 octobre 2011, consid. 5.1). L'hébergement d'un époux chez un tiers ne signifie pas encore qu'il n'a plus besoin du logement conjugal. Il convient en effet de n'admettre que sur la base d'indices sérieux que le conjoint a quitté définitivement son logement (ATF 136 III 257 consid. 2.2).</w:t>
      </w:r>
    </w:p>
    <w:p>
      <w:r>
        <w:rPr>
          <w:b/>
        </w:rPr>
        <w:t>E. 5.2</w:t>
      </w:r>
    </w:p>
    <w:p>
      <w:r>
        <w:t>En l'occurrence, l'intimée a rendu vraisemblable avoir quitté le domicile conjugal à la suite d'une violente altercation avec son époux. On ne saurait dès lors retenir qu'elle a définitivement abandonné ce logement. Reste donc à procéder à la pesée des intérêts des époux à l'attribution de la jouissance de l'appartement conjugal.</w:t>
      </w:r>
    </w:p>
    <w:p>
      <w:r>
        <w:t>- 9/16 -</w:t>
      </w:r>
    </w:p>
    <w:p>
      <w:r>
        <w:t>C/23826/2013 Le critère de l'utilité penche légèrement en faveur de l'intimée. En effet, en dépit du caractère relativement récent de l'emménagement du couple dans le logement litigieux, l'épouse a un intérêt à y demeurer en raison de sa proximité avec le domicile de son père, critère qui a déterminé les époux à y emménager, ce qui n'est pas contesté. Contrairement à ce que soutient l'appelant, la situation de l'intimée, qui vit actuellement chez son père, n'est à cet égard pas pertinente, dès lors qu'elle est provisoire. Si l'intimée souhaite être proche de son père, il est toutefois compréhensible qu'elle désire garder une certaine indépendance et disposer de son propre logement. Par ailleurs, le domicile conjugal présente l'avantage de mettre à disposition de l'épouse, qui a besoin d'un véhicule pour des motifs professionnels, une place de parking. L'appelant ne fait valoir aucun intérêt pour justifier l'attribution de la jouissance du logement en sa faveur. Il se prévaut uniquement du fait qu'il lui sera plus difficile de retrouver un logement, dans la mesure où il est sans emploi. Or, le critère économique n'est pas pertinent en l'espèce, les époux ayant les ressources financières suffisantes pour conserver le logement en question. Dès lors, l'absence de revenu de l'appelant ne doit pas conduire à lui attribuer l'appartement actuel que son épouse devrait pour l'essentiel financer. Dans ces conditions, il se justifie d'attribuer la jouissance exclusive du domicile conjugal et du mobilier de ménage à l'épouse. Le chiffre 2 du dispositif du jugement sera donc confirmé.</w:t>
      </w:r>
    </w:p>
    <w:p>
      <w:r>
        <w:rPr>
          <w:b/>
        </w:rPr>
        <w:t>E. 5.3</w:t>
      </w:r>
    </w:p>
    <w:p>
      <w:r>
        <w:t>Le Tribunal a fixé à l'appelant un délai au 30 mai 2014 pour libérer le logement de sa personne et de ses biens. L'époux n'a disposé jusqu'à présent que de faibles ressources financières et il ne peut être retenu, avec une vraisemblance suffisante, que ses oncles qui vivent à Genève, pourrait l'accueillir. Dans ces circonstances, le délai au 30 mai 2014 ne paraît pas approprié. Au vu des considérations exposées ci-après sur la contribution due à l'entretien de l'appelant, la Cour considère qu'il se justifie de lui impartir un délai supplémentaire au 31 août 2014 pour déménager. Le chiffre 3 du dispositif du jugement sera donc modifié dans ce sens.</w:t>
      </w:r>
    </w:p>
    <w:p>
      <w:r>
        <w:rPr>
          <w:b/>
        </w:rPr>
        <w:t>E. 6</w:t>
      </w:r>
    </w:p>
    <w:p>
      <w:r>
        <w:t>L'appelant exige l'allocation d'une contribution d'entretien en sa faveur.</w:t>
      </w:r>
    </w:p>
    <w:p>
      <w:r>
        <w:rPr>
          <w:b/>
        </w:rPr>
        <w:t>E. 6.1</w:t>
      </w:r>
    </w:p>
    <w:p>
      <w:r>
        <w:t>La contribution d'entretien fixée sur mesures protectrices de l'union conjugale doit être déterminée selon les dispositions applicables à l'entretien de la famille (art. 163 ss CC; ATF 130 III 537 consid. 3.2, SJ 2004 I 529). Même lorsqu'on ne peut plus sérieusement compter sur la reprise de la vie commune, l'art. 163 CC demeure la cause de l'obligation d'entretien réciproque des époux en mesures pro- tectrices de l'union conjugale. Pour fixer la contribution d'entretien, selon</w:t>
      </w:r>
    </w:p>
    <w:p>
      <w:r>
        <w:t>- 10/16 -</w:t>
      </w:r>
    </w:p>
    <w:p>
      <w:r>
        <w:t>C/23826/2013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w:t>
      </w:r>
    </w:p>
    <w:p>
      <w:r>
        <w:rPr>
          <w:b/>
        </w:rPr>
        <w:t>E. 6.2</w:t>
      </w:r>
    </w:p>
    <w:p>
      <w:r>
        <w:t>En l'espèce, durant la vie commune, l'appelant n'a travaillé qu'occasionnellement, l'intimée subvenant à l'essentiel des besoins de la famille. Les parties s'entendent toutefois pour dire que le lien conjugal est définitivement rompu. Il se justifie par conséquent de vérifier si un revenu hypothétique peut être imputé à l'époux. Bien qu'il n'ait aucune formation professionnelle, l'appelant a occupé, ces dernières années, divers emplois dans le domaine du nettoyage et a ainsi pu acquérir une certaine expérience dans cette branche. Il n'est âgé que de 38 ans et est en bonne santé. L'époux ne présente ainsi aucun empêchement pour augmenter son taux d'activité en tant que nettoyeur ou trouver un emploi dans un autre domaine d'activité ne requérant pas de qualification particulièrement élevée. L'appelant n'a, à cet égard, pas rendu vraisemblable avoir recherché activement un emploi. Il n'a en effet produit, tout au long de la procédure, que quatre demandes de travail effectuées aux mois de novembre 2013 et mars 2014. Il n'a notamment versé aucun document tendant à démontrer que les entreprises de nettoyage, pour lesquelles il effectue des missions ponctuelles, ne seraient pas disposées à l'engager à plein temps pour une durée indéterminée. Le jeune âge de l'appelant, son expérience et l'état actuel du marché laissent supposer de bonnes perspectives de trouver un travail à temps complet, s'il intensifie ses efforts de recherche, à tout le moins dans des métiers ne nécessitant ni qualification, ni compétence particulière, par exemple des emplois de nettoyeur, serveur, magasinier ou manœuvre. Le Tribunal a estimé à 3'500 fr. le salaire mensuel net que l'intimé pourrait ainsi réaliser. Cette appréciation apparaît adéquate au vu des salaires minimaux prévus par la Convention collective de travail du secteur du nettoyage pour la Suisse romande (2014-2017). En effet, selon cette Convention, le salaire horaire pour un agent de propreté sans qualification ayant une expérience de deux ans et plus dans la branche doit être de 21 fr. 70 au minimum. Le revenu mensuel brut pour un poste exercé à 100%, impliquant 43 heures de nettoyage par semaine, peut donc être estimé à environ 4'040 fr. (21 fr. 70 x 43 [heures] x 4.33 [semaines]), indemnité de vacances et part au treizième non inclus. Après les déductions</w:t>
      </w:r>
    </w:p>
    <w:p>
      <w:r>
        <w:t>- 12/16 -</w:t>
      </w:r>
    </w:p>
    <w:p>
      <w:r>
        <w:t>C/23826/2013 sociales (de l'ordre de 10 à 15%), le salaire mensuel net peut donc être évalué à tout le moins à 3'500 fr. Compte tenu de l'état actuel du marché et du temps écoulé depuis le prononcé du jugement querellé (plus de trois mois), par lequel le Tribunal attirait d'ores et déjà l'attention de l'époux sur le fait qu'on pouvait raisonnablement exiger de lui qu'il occupe un emploi à temps complet, un délai au 1er septembre 2014 apparaît suffisant pour permettre à l'appelant de trouver un tel poste de travail. Dès le 1er septembre 2014, l'appelant devra assumer des charges mensuelles incompressibles d'un total de 2'527 fr. 70, arrondis à 2'550 fr., comprenant un loyer de 1'000 fr. par mois, cette estimation ayant été admise en appel. Les besoins mensuels incompressibles de l'intimée se chiffreront, quant à eux, à 9'239 fr. 45, arrondis à 9'250 fr. (6'539 fr. 45 + 2'700 fr. [loyer du domicile conjugal]), montant également admis par l'appelant dans sa motivation subsidiaire. L'addition des revenus des parties s'élèvera à 14'000 fr. (10'500 fr. + 3'500 fr.), alors que leurs charges représenteront 11'800 fr. (9'250 fr. + 2'550 fr.), ce qui laisse un solde disponible de 2'200 fr. par mois. Un calcul strict du minimum vital, avec réparation de la moitié de l'excédent en faveur de chaque époux, conduit ainsi à une contribution mensuelle à l'entretien de l'appelant de l'ordre de 150 fr. (2'550 fr. + 1'100 fr. [moitié du solde disponible] – 3'500 fr.), arrêtée à 200 fr. Jusqu'au 31 août 2014, soit tant que l'appelant est autorisé à rester dans le logement conjugal, ses charges mensuelles incompressibles s'élèvent à 4'250 fr. (1'550 fr. + 2'700 fr. [loyer du domicile conjugal]). Dans la mesure où l'appelant n'a produit aucun justificatif pour rendre vraisemblable l'allégué selon lequel son contrat de travail de durée indéterminée, conclu en septembre 2013 avec G______, aurait été résilié, il sera retenu qu'il continue à percevoir le salaire net de 730 fr. par mois. L'époux, qui n'a requis le prononcé de mesures protectrices de l'union conjugale que le 15 novembre 2013, soit près de quatre mois après la séparation des parties, n'a par ailleurs pas rendu vraisemblable, ni même allégué, avoir dû contracter des dettes ou faire appel aux services sociaux pour subvenir à ses besoins depuis la séparation des parties. Il a d'ailleurs été à même de verser l'avance de 1'000 fr. requise par le Tribunal et n'a pas plaidé au bénéfice de l'assistance judiciaire en première instance. Il sera dès lors retenu que l'appelant réalise depuis la séparation des parties des revenus mensuels nets suffisants pour couvrir ses charges incompressibles en 1'550 fr., loyer non inclus, l'intimée ayant continué de s'acquitter directement du loyer de l'appartement conjugal. Pour la période précédant le 31 août 2014, la contribution d'entretien due par l'épouse sera ainsi fixée à 2'700 fr., correspondant au montant du loyer de l'appartement occupé par l'appelant.</w:t>
      </w:r>
    </w:p>
    <w:p>
      <w:r>
        <w:t>- 13/16 -</w:t>
      </w:r>
    </w:p>
    <w:p>
      <w:r>
        <w:t>C/23826/2013</w:t>
      </w:r>
    </w:p>
    <w:p>
      <w:r>
        <w:rPr>
          <w:b/>
        </w:rPr>
        <w:t>E. 6.3</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 du Tribunal fédéral 5A_807/2012 du 6 février 2013, consid 5.4.4.3), sous imputation des avances d'entretien éventuellement effectuées par le débirentier pendant cette période (ATF 135 III 315 consid 2.3, 2.4). En l'espèce, les parties se sont séparées le 21 juillet 2013 et les mesures protectrices ont été requises par l'époux le 15 novembre 2013. Dès lors que la situation financière des parties n'était pas différente durant les mois ayant précédé l'introduction de la requête, l'époux peut également prétendre à l'assistance financière de sa femme durant cette période. Le dies a quo de la contribution d'entretien sera donc fixé au 21 juillet 2013, date de séparation des parties.</w:t>
      </w:r>
    </w:p>
    <w:p>
      <w:r>
        <w:rPr>
          <w:b/>
        </w:rPr>
        <w:t>E. 6.4</w:t>
      </w:r>
    </w:p>
    <w:p>
      <w:r>
        <w:t>Par conséquent, l'intimée sera condamnée à payer une contribution à l'entretien de l'appelant de 2'700 fr. du 21 juillet 2013 au 31 août 2014, sous déduction de la somme de 33'358 fr. dont elle s'est déjà acquittée en réglant directement les loyers de l'appartement conjugal du 21 juillet 2013 au 31 juillet 2014 (2'700 fr. x 12 [mois] + 2'700 fr. / 31 [jours] x 11 [jours]). Elle sera, en outre, condamnée à verser la somme de 200 fr. par mois à titre de contribution à l'entretien de son époux dès le 1er septembre 2014. 7. 7.1 Lorsque l'autorité d'appel statue à nouveau, elle se prononce sur les frais de première instance (art. 318 al. 3 CPC). En l'espèce, le premier juge a réparti les frais de la procédure par moitié entre les époux, faisant application de l'art. 107 al. 1 let c CPC qui prévoit que le juge peut répartir les frais selon sa libre appréciation dans les affaires de famille. Bien que l'appel soit partiellement admis, il n'y a pas lieu de modifier la répartition des frais de première instance opérée par le Tribunal, qui est adéquate. 7.2. Les frais judiciaires de la présente sont fixés à 1'650 fr. pour tenir également compte de la décision sur effet suspensif (art. 30 et 37 du Règlement fixant le tarif des frais en matière civile, RTFMC - E 1 05.10). Ils seront mis à la charge des époux, chacun pour moitié. Le montant de 825 fr. mis à la charge de l'appelant sera provisoirement supporté par l'Etat, puisqu'il plaide au bénéfice de l'assistance judiciaire (art. 122 al. 1 let. b CPC). Il sera rappelé que les bénéficiaires de l'assistance judiciaire sont tenus au remboursement des frais judiciaires mis à la charge de l'Etat dans la mesure de l'art. 123 CPC.</w:t>
      </w:r>
    </w:p>
    <w:p>
      <w:r>
        <w:t>- 14/16 -</w:t>
      </w:r>
    </w:p>
    <w:p>
      <w:r>
        <w:t>C/23826/2013 Les parties conserveront à leur charge leurs propres dépens (art. 95 al. 3, 104 al. 1 105 al. 1 al. 2 et 107 al. 1 let. c CPC). 8. L'arrêt de la Cour, qui statue sur mesures protectrices de l'union conjugale, est susceptible d'un recours en matière civile, les moyens étant limités en application de l'art. 98 LTF. * * * * *</w:t>
      </w:r>
    </w:p>
    <w:p>
      <w:r>
        <w:t>- 15/16 -</w:t>
      </w:r>
    </w:p>
    <w:p>
      <w:r>
        <w:t>C/23826/2013 PAR CES MOTIFS, La Chambre civile : A la forme : Déclare recevable l'appel interjeté par B______ contre les chiffres 2, 3 et 7 du dispositif du jugement JTPI/3466/2014 rendu le 10 mars 2014 par le Tribunal de première instance dans la cause C/23826/2013-17. Au fond : Annule les chiffres 3 et 7 du dispositif du jugement entrepris. Cela fait, statuant à nouveau : Impartit à B______ un délai au 31 août 2014 pour libérer de sa personne et de ses biens le domicile conjugal sis ______ (Genève), et ce sous la menace de la peine prévue à l'art. 292 CP, lequel dispose que "Celui qui ne se sera pas conformé à une décision à lui signifiée, sous la menace de la peine prévue au présent article, par une autorité ou un fonctionnaire compétents sera puni d'une amende". Condamne A______ à verser à B______, par mois et d'avance, à titre de contribution d'entretien, pour la période du 21 juillet 2013 au 31 août 2014, la somme de 2'700 fr., sous déduction du montant en capital de 33'358 fr. Condamne A______ à verser à B______, par mois et d'avance, à titre de contribution d'entretien, la somme de 200 fr. dès le 1er septembre 2014. Confirme le chiffre 2 du dispositif du jugement querellé. Déboute les parties de toutes autres conclusions. Sur les frais : Arrête les frais judiciaires d'appel à 1'650 fr. et les met à la charge de B______ et de A______ à parts égales entre eux. Dit que les frais judiciaires à la charge de B______, de 825 fr., sont provisoirement supportés par l'Etat de Genève. Condamne A______ à verser 825 fr. aux Services financiers du Pouvoir judiciaire. Dit que chaque partie supporte ses propres dépens d'appel. Siégeant : Monsieur Jean-Marc STRUBIN, président; Madame Paola CAMPOMAGNANI, Madame Fabienne GEISINGER-MARIETHOZ, juges; Madame Anne-Lise JAQUIER, greffière.</w:t>
      </w:r>
    </w:p>
    <w:p>
      <w:r>
        <w:t>- 16/16 -</w:t>
      </w:r>
    </w:p>
    <w:p>
      <w:r>
        <w:t>C/23826/2013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r>
        <w:rPr>
          <w:b/>
        </w:rPr>
        <w:t>E. 10</w:t>
      </w:r>
    </w:p>
    <w:p>
      <w:r>
        <w:t>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in SJ 2001 I p. 95).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(ATF 128 III 4 consid. 4a; arrêts du Tribunal fédéral 5A_99/2011 du 26 septembre 2011 consid. 7.4.1 non publié aux ATF 137 III 602 mais publié in FamPra.ch 2012 p. 228; 5A_18/2011 du 1er juin 2011 consid. 3.1.1; 5A_290/2010 du 28 octobre 2010 consid. 3.1, publié in SJ 2011 I 177). Le juge doit avant tout juger si l'on peut raisonnablement</w:t>
      </w:r>
    </w:p>
    <w:p>
      <w:r>
        <w:t>- 11/16 -</w:t>
      </w:r>
    </w:p>
    <w:p>
      <w:r>
        <w:t>C/23826/2013 exiger de cette personne qu'elle exerce une activité lucrative ou augmente celle-ci, eu égard, notamment, à sa formation, à son âge et à son état de santé; il s'agit d'une question de droit (arrêts précités 5A_99/2011 consid. 7.4.1; 5A_18/2011 consid. 3.1.1 et 5A_290/2010 consid. 3.1).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