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ACJC/857/2018 vom 29. Juni 2018</w:t>
      </w:r>
    </w:p>
    <w:p>
      <w:r>
        <w:t>GE Cour de justice, 2018-06-29, FR</w:t>
      </w:r>
    </w:p>
    <w:p>
      <w:r>
        <w:rPr>
          <w:b/>
        </w:rPr>
        <w:t xml:space="preserve">Quelle: </w:t>
      </w:r>
      <w:r>
        <w:t>https://mcp.opencaselaw.ch/entscheid/ge_gerichte_ACJC_857_2018</w:t>
      </w:r>
    </w:p>
    <w:p>
      <w:r>
        <w:t>FR: GE_GERICHTE ACJC/857/2018 du 29 juin 2018</w:t>
      </w:r>
    </w:p>
    <w:p>
      <w:r>
        <w:t>IT: GE_GERICHTE ACJC/857/2018 del 29 giugno 2018</w:t>
      </w:r>
    </w:p>
    <w:p>
      <w:pPr>
        <w:pStyle w:val="Heading2"/>
      </w:pPr>
      <w:r>
        <w:t>Erwägungen</w:t>
      </w:r>
    </w:p>
    <w:p>
      <w:r>
        <w:rPr>
          <w:b/>
        </w:rPr>
        <w:t>E. 1.1</w:t>
      </w:r>
    </w:p>
    <w:p>
      <w:r>
        <w:t>En matière de mainlevée d'opposition, seule la voie du recours est ouverte (art. 309 let. b ch. 3 et 319 lit. a CPC). La procédure sommaire s'applique (art. 251 let. a CPC).</w:t>
      </w:r>
    </w:p>
    <w:p>
      <w:r>
        <w:t>En l'espèce, le recours, écrit et motivé (art. 130, 131, 321 al. 1 CPC), adressé à la Cour de justice dans un délai de dix jours dès la notification de la décision entreprise (art. 142F al. 1 et 3, 251 let. a, 321 al. 2 CPC),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w:t>
      </w:r>
    </w:p>
    <w:p>
      <w:r>
        <w:rPr>
          <w:b/>
        </w:rPr>
        <w:t>E. 1.3</w:t>
      </w:r>
    </w:p>
    <w:p>
      <w:r>
        <w:t>Le recours étant instruit en procédure sommaire, la preuve des faits allégués doit être apportée par titres (art. 254 CPC). Les maximes des débats et de disposition s'appliquent (art. 55 al. 1, 255 let. a a contrario et art. 58 al. 1 CPC).</w:t>
      </w:r>
    </w:p>
    <w:p>
      <w:r>
        <w:rPr>
          <w:b/>
        </w:rPr>
        <w:t>E. 1.4</w:t>
      </w:r>
    </w:p>
    <w:p>
      <w:r>
        <w:t>Le contentieux de la mainlevée de l'opposition (art. 80 ss LP), soumis à la procédure sommaire (art. 251 let. a CPC), est un "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 5A_577/2013 du 7 octobre 2013 consid. 4.1).</w:t>
      </w:r>
    </w:p>
    <w:p>
      <w:r>
        <w:rPr>
          <w:b/>
        </w:rPr>
        <w:t>E. 2</w:t>
      </w:r>
    </w:p>
    <w:p>
      <w:r>
        <w:t>Les recourants reprochent au Tribunal de ne pas avoir prononcé la mainlevée provisoire de l'opposition.</w:t>
      </w:r>
    </w:p>
    <w:p>
      <w:r>
        <w:rPr>
          <w:b/>
        </w:rPr>
        <w:t>E. 2.1</w:t>
      </w:r>
    </w:p>
    <w:p>
      <w:r>
        <w:t>Le créancier dont la poursuite se fonde sur une reconnaissance de dette constatée par acte authentique ou sous seing privé peut requérir la mainlevée provisoire (art. 82 al. 1 LP).</w:t>
      </w:r>
    </w:p>
    <w:p>
      <w:r>
        <w:t>Le juge de la mainlevée provisoire doit vérifier d'office notamment l'existence matérielle d'une reconnaissance de dette (ATF 139 III 444 consid. 4.1.1, et les références; arrêt du Tribunal fédéral 5A_40/2013 du 29 octobre 2013 consid. 2.2),</w:t>
      </w:r>
    </w:p>
    <w:p>
      <w:r>
        <w:t>- 5/7 -</w:t>
      </w:r>
    </w:p>
    <w:p>
      <w:r>
        <w:t>C/19372/2017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w:t>
      </w:r>
    </w:p>
    <w:p>
      <w:r>
        <w:t>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w:t>
      </w:r>
    </w:p>
    <w:p>
      <w:r>
        <w:t>La reconnaissance de dette peut découler du rapprochement de plusieurs pièces, pour autant que les éléments nécessaires en résultent (ATF 122 II 126 = JdT 1998 II 82 consid. 2; SJ 2004 I 209 consid. 3.1; arrêts du Tribunal fédéral 5P.290/2006 du 12 octobre 2006 consid. 3.1.2 et 5A_652/2011 du 28 février 2012 consid. 3.21) et que celle qui est signée se réfère directement à celle qui comporte un montant déterminé (ATF 132 III 480 consid. 4.1); autrement dit, la signature doit figurer sur celui des documents qui impose une obligation au poursuivi et qui a un caractère décisif (GILLIERON, op. cit, n. 33 ad art. 82 LP).</w:t>
      </w:r>
    </w:p>
    <w:p>
      <w:r>
        <w:t>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w:t>
      </w:r>
    </w:p>
    <w:p>
      <w:r>
        <w:t>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consid 5.2; ACJC/1211/1999 du 25 novembre 1999, consid. 3; arrêt du Tribunal fédéral du 10 mai 1968, résumé in JdT 1969 II 32).</w:t>
      </w:r>
    </w:p>
    <w:p>
      <w:r>
        <w:rPr>
          <w:b/>
        </w:rPr>
        <w:t>E. 2.2</w:t>
      </w:r>
    </w:p>
    <w:p>
      <w:r>
        <w:t>Selon l'art. 82 al. 2 LP, le juge prononce la mainlevée si le débiteur ne rend pas immédiatement vraisemblable sa libération.</w:t>
      </w:r>
    </w:p>
    <w:p>
      <w:r>
        <w:rPr>
          <w:b/>
        </w:rPr>
        <w:t>E. 2.3</w:t>
      </w:r>
    </w:p>
    <w:p>
      <w:r>
        <w:t>Dans le présent cas, il n'est pas contesté qu'en 2014, les parties se sont liées par un contrat de bail, lequel vaut reconnaissance de dettes s'agissant des loyers. Dans la rubrique relative au titre et à la date de la créance, les recourants ont indiqué ce qui suit : "Solde ouvert sur les loyers des mois de janvier et mars 2016 pour un ancien appartement sis ______ à ______ suite à la libération de la garantie. Tous droits réservés". Ils ne se sont ainsi pas fondés sur le contrat de bail, lequel n'est pas mentionné dans ladite rubrique. Quant à la convention de sortie signée par l'ancien compagnon de l'intimée, elle ne figure pas non plus comme titre. Par ailleurs, l'intimée n'est pas liée par cette convention. Il s'ensuit</w:t>
      </w:r>
    </w:p>
    <w:p>
      <w:r>
        <w:t>- 6/7 -</w:t>
      </w:r>
    </w:p>
    <w:p>
      <w:r>
        <w:t>C/19372/2017 que les recourants ne disposent pas d'une reconnaissance de dette dès lors qu'il n'y a pas identité entre la prétention déduite en poursuite et la dette reconnue dans le contrat de bail ou la convention de sortie.</w:t>
      </w:r>
    </w:p>
    <w:p>
      <w:r>
        <w:t>De plus, la poursuite porte sur un montant de 8'136 fr. 35 hors intérêts. Les recourants ont allégué, sans produire de titre à cet égard, que le montant encaissé à la suite de la libération de la garantie de loyer serait de 7'863 fr. 65. Ainsi, le montant de la dette ne peut être établi, sur le vu des pièces versées à la procédure.</w:t>
      </w:r>
    </w:p>
    <w:p>
      <w:r>
        <w:t>Il n'est dès lors pas nécessaire d'examiner si l'intimée a démontré sa libération.</w:t>
      </w:r>
    </w:p>
    <w:p>
      <w:r>
        <w:t>Le recours sera, partant, rejeté.</w:t>
      </w:r>
    </w:p>
    <w:p>
      <w:r>
        <w:rPr>
          <w:b/>
        </w:rPr>
        <w:t>E. 3</w:t>
      </w:r>
    </w:p>
    <w:p>
      <w:r>
        <w:t>Les frais judiciaires du recours, fixés à 450 fr. (art. 61 OELP), seront mis à la charge des recourants, qui succombent (art. 106 al. 1 CPC), compensés avec l'avance de même montant fournie par eux, et qui reste acquise à l'Etat de Genève (art. 111 al. 1 CPC).</w:t>
      </w:r>
    </w:p>
    <w:p>
      <w:r>
        <w:t>Les recourants seront condamnés, pris conjointement, à verser à l'intimée la somme de 500 fr. à titre de dépens du recours, débours et TVA compris (art. 85, 88 et 89 du règlement fixant le tarif des frais en matière civile du 22 décembre 2010 [RTFMC - E 1 05.10]; art. 25 et 26 de la loi d'application du code civil suisse et autres lois fédérales en matière civile du 28 novembre 2010 [LaCC - E 1 05]). * * * * *</w:t>
      </w:r>
    </w:p>
    <w:p>
      <w:r>
        <w:t>- 7/7 -</w:t>
      </w:r>
    </w:p>
    <w:p>
      <w:r>
        <w:t>C/19372/2017 PAR CES MOTIFS, La Chambre civile : A la forme : Déclare recevable le recours interjeté le 26 mars 2018 par A______ et B______ contre le jugement JTPI/3848/2018 rendu le 8 mars 2018 par le Tribunal de première instance dans la cause C/19372/2017-19-SML. Au fond : Le rejette. Déboute les parties de toutes autres conclusions. Sur les frais : Arrête les frais judiciaires du recours à 450 fr., les met à la charge de A______ et B______, solidairement entre eux, et les compense avec l'avance de frais, acquise à l'Etat de Genève. Condamne A______ et B______, solidairement entre eux, à verser 500 fr. à D______ à titre de dépens du recours. Siégeant : Madame Nathalie LANDRY-BARTHE, présidente; Madame Sylvie DROIN et Monsieur Ivo BUETTI, juges; Madame Fatina SCHAERER, greffière.</w:t>
      </w:r>
    </w:p>
    <w:p>
      <w:r>
        <w:t>La présidente : Nathalie LANDRY-BARTHE</w:t>
      </w:r>
    </w:p>
    <w:p>
      <w:r>
        <w:t>La greffière : Fatina SCHAERER</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