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ACJC/851/2014 vom 11. Juli 2014</w:t>
      </w:r>
    </w:p>
    <w:p>
      <w:r>
        <w:t>GE Cour de justice, 2014-07-11, FR</w:t>
      </w:r>
    </w:p>
    <w:p>
      <w:r>
        <w:rPr>
          <w:b/>
        </w:rPr>
        <w:t xml:space="preserve">Quelle: </w:t>
      </w:r>
      <w:r>
        <w:t>https://mcp.opencaselaw.ch/entscheid/ge_gerichte_ACJC_851_2014</w:t>
      </w:r>
    </w:p>
    <w:p>
      <w:r>
        <w:t>FR: GE_GERICHTE ACJC/851/2014 du 11 juillet 2014</w:t>
      </w:r>
    </w:p>
    <w:p>
      <w:r>
        <w:t>IT: GE_GERICHTE ACJC/851/2014 del 11 luglio 2014</w:t>
      </w:r>
    </w:p>
    <w:p>
      <w:pPr>
        <w:pStyle w:val="Heading2"/>
      </w:pPr>
      <w:r>
        <w:t>Erwägungen</w:t>
      </w:r>
    </w:p>
    <w:p>
      <w:r>
        <w:rPr>
          <w:b/>
        </w:rPr>
        <w:t>E. 1.1</w:t>
      </w:r>
    </w:p>
    <w:p>
      <w:r>
        <w:t>Selon l'art. 308 al. 1 let. b et al. 2 CPC, l'appel est recevable contre les déci- sions de première instance sur les mesures provisionnelles, si la valeur litigieuse, dans les causes de nature patrimoniale, est d'au moins 10'000 fr. Selon l'art. 91 al. 1 CPC, la valeur litigieuse est déterminée par les conclusions. Lorsque l'action ne porte pas sur le paiement d'une somme d'argent déterminée, le Tribunal détermine la valeur litigieuse (art. 91 al. 2 CPC). Pour les mesures provisionnelles, la valeur litigieuse est celle de la demande au fond qui a été déposée ou qui le sera (ATF 133 III 645 consid. 2.2 p. 648 et arrêt du Tribunal fédéral 4A_152/2012 du 3 août 2012 consid. 1 ). En l'espèce, l'appelante réclame le rétablissement de la copossession d'une partie des locaux dont elle est la locataire principale dans l'immeuble sis 1______ à ______(GE), à savoir la mezzanine. Tant sur la base de la valeur de la mezzanine (thèse de l’appelante), que sur la base du loyer de celle-ci estimé à la moitié du loyer de la surface sous-louée (art. 92 al. 2 CPC ; thèse de l'intimée), la valeur litigieuse est clairement supérieure à 10’000 fr., de sorte que la voie de l'appel est ouverte.</w:t>
      </w:r>
    </w:p>
    <w:p>
      <w:r>
        <w:rPr>
          <w:b/>
        </w:rPr>
        <w:t>E. 1.2</w:t>
      </w:r>
    </w:p>
    <w:p>
      <w:r>
        <w:t>L'appel a été formé dans le délai de dix jours prévu en matière de procédure sommaire (art. 314 CPC), applicable aux mesures provisionnelles (art. 248 let. d CPC), et selon la forme requise (art. 130, 131, 311 al. 1 CPC). Il est en conséquence recevable.</w:t>
      </w:r>
    </w:p>
    <w:p>
      <w:r>
        <w:rPr>
          <w:b/>
        </w:rPr>
        <w:t>E. 1.3</w:t>
      </w:r>
    </w:p>
    <w:p>
      <w:r>
        <w:t>S'agissant d'un appel (art. 308 al. 1 let. b CPC), la Cour revoit la cause avec un plein pouvoir d'examen (art. 310 CPC; HOHL, Procédure civile, tome II, 2ème éd., 2010, n. 2314 et 2416; RETORNAZ, L’appel et le recours, in Procédure civile suisse, 2010, p. 349 ss, n. 121). Dans la mesure des conclusions prises en appel (art. 315 al. 1 CPC), la Cour établit les faits d'office. En procédure sommaire, la preuve est généralement apportée par titre au sens de l'art. 177 CPC (art. 254 al. 1 CPC) et, sauf exception, la maxime des débats s'applique (art. 55 al. 1 CPC; BOHNET, in Procédure civile suisse, Les grands thèmes pour les praticiens, 2010, p. 201-202). Le requérant est ainsi tenu</w:t>
      </w:r>
    </w:p>
    <w:p>
      <w:r>
        <w:t>- 7/12 -</w:t>
      </w:r>
    </w:p>
    <w:p>
      <w:r>
        <w:t>C/2749/2014 d'apporter tous les faits pertinents à l'appui de sa prétention et de produire les preuves qui s'y rapportent.</w:t>
      </w:r>
    </w:p>
    <w:p>
      <w:r>
        <w:rPr>
          <w:b/>
        </w:rPr>
        <w:t>E. 2</w:t>
      </w:r>
    </w:p>
    <w:p>
      <w:r>
        <w:t>L'appelante fait grief au Tribunal d’avoir violé les art. 927 CC, 86 LOJ et 261 CPC. En substance, elle expose qu'elle a sous-loué à l'intimée une surface de 110 m² au rez-de-chaussée de l'immeuble sis 1______ et que l'administrateur de l'intimée jouissait de l'usage d'un « meuble-bureau » au premier étage du même immeuble, « à bien plaire sur la base d'un prêt, eu égard aux relations entre les parties avant le changement intervenu dans l'actionnariat de l'intimée ». Elle estime disposer d'une action fondée sur le prêt, résilié, pour faire valoir un droit exclusif sur la surface litigieuse, à intenter devant le Tribunal de première instance. L'intimée soutient que le contrat de sous-location liant les parties porte sur un atelier comprenant une mezzanine, laquelle ne correspond pas à un étage du bâtiment et existait, dans une forme brute, lors de la conclusion du bail principal. Elle estime que dans la mesure où le litige relève de manière prépondérante du bail à loyer, c’est à bon droit que le Tribunal de première instance s'est déclaré incompétent à raison de la matière.</w:t>
      </w:r>
    </w:p>
    <w:p>
      <w:r>
        <w:rPr>
          <w:b/>
        </w:rPr>
        <w:t>E. 2.1</w:t>
      </w:r>
    </w:p>
    <w:p>
      <w:r>
        <w:t>Les actions possessoires des art. 927 et 928 CC ont pour objet la défense de la possession comme telle et permettent de réagir contre une voie de fait apparente. Elles ne visent ainsi qu'au rétablissement et au maintien de l'état de fait antérieur. Sous réserve de l'art. 927 al. 2 CC,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cf. ATF 113 II 243 consid. 1b; arrêt du Tribunal fédéral 5P.509/2006 du 8 mai 2007 consid. 1.3). Lorsqu'il doit prononcer le rétablissement de l'état de fait antérieur, le juge doit uniquement rechercher qui, du demandeur ou du défendeur, avait la maîtrise effective de la chose précédemment, c'est-à-dire avant l'acte d'usurpation illicite (arrêt du Tribunal fédéral 5A_98/2010 du 7 mai 2010 consid. 4.1.2). La possession collective peut être une copossession ou une possession commune. Il y a copossession lorsque chacun des possesseurs peut exercer la maîtrise de fait sur le bien sans le concours de l'autre; il y a en revanche possession commune lorsque les possesseurs ne peuvent exercer qu'ensemble la maîtrise de fait sur le bien (STEINAUER, Les droits réels, Tome I, 2012, n. 232 ss). Tout possesseur collectif (copossesseur ou possesseur commun) peut exercer une action possessoire contre un autre possesseur collectif qui troublerait sa possession ou l'en priverait (arrêt du Tribunal fédéral 5P.220/2000 du 6 septembre 2001 consid. 2a et les références citées). Le litige ne doit toutefois pas concerner les rapports juridiques des possesseurs collectifs entre eux (arrêt du Tribunal fédéral</w:t>
      </w:r>
    </w:p>
    <w:p>
      <w:r>
        <w:t>- 8/12 -</w:t>
      </w:r>
    </w:p>
    <w:p>
      <w:r>
        <w:t>C/2749/2014 5A_8/2010 consid 4.4.1, in SJ 2011 I 97, p 98). Il s'agit d'une règle particulière régissant le droit de défense entre copossesseurs (STEINAUER, op. cit., n. 318 et 330 c).</w:t>
      </w:r>
    </w:p>
    <w:p>
      <w:r>
        <w:rPr>
          <w:b/>
        </w:rPr>
        <w:t>E. 2.2</w:t>
      </w:r>
    </w:p>
    <w:p>
      <w:r>
        <w:t>Pour l'exercice des actions possessoires (art. 927 et 928 CC), le requérant a le choix entre deux types de procédure : la procédure du cas clair de l'art. 257 CPC et la procédure ordinaire ou simplifiée, selon la valeur litigieuse. Dans les deux types de procédure, le requérant peut solliciter des mesures provisionnelles pour la durée du procès principal. En plus de l'action possessoire, le demandeur dispose de l'action pétitoire, fondée sur son droit sur la chose : dans ce cadre, il peut également requérir des mesures provisionnelles pour obtenir le rétablissement immédiat de l’état de fait conforme au droit (HOHL, op. cit., n. 1701-1704; BOHNET, CPC, Code de procédure civile commenté, 2011, n. 5 ad art. 258 CPC). La décision sur mesures provisionnelles ne tranche que sur le rétablissement de la possession (possessoire), mais non sur le caractère licite de celle-ci (pétitoire); la partie qui n'a pas eu gain de cause peut donc ensuite ouvrir une action fondée sur le droit qu'elle prétend avoir en relation avec l'objet du litige (STEINAUER, op. cit., n. 359). Ainsi, les actions possessoires des art. 927-928 CC ne peuvent plus être tranchées définitivement par voie de mesures provisionnelles comme le prévoyaient certaines procédures cantonales (ABBET, Les décisions du tribunal de première instance en procédure civile suisse : typologie, procédures et voies de droits, in RVJ 2012 351, p. 371).</w:t>
      </w:r>
    </w:p>
    <w:p>
      <w:r>
        <w:rPr>
          <w:b/>
        </w:rPr>
        <w:t>E. 2.3</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op. cit., n. 3 ad art. 261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Rendre vraisemblable la prétention signifie que le requérant doit rendre plausible, d'une part, les faits à l'appui de celle-ci et d'autre part, que la prétention fonde vraisemblablement un droit. Il n'est pas nécessaire que le juge soit persuadé de l'existence des faits. Il suffit que, sur la base d'éléments objectifs, il acquière l'impression d'une certaine vraisemblance de l'existence de ceux-ci, sans pour autant qu'il doive exclure la</w:t>
      </w:r>
    </w:p>
    <w:p>
      <w:r>
        <w:t>- 9/12 -</w:t>
      </w:r>
    </w:p>
    <w:p>
      <w:r>
        <w:t>C/2749/2014 possibilité qu'ils aient pu se dérouler autrement (ATF 139 II 86 consid. 4.2; 132 III 715 consid. 3.1 p. 720; 130 III 321 consid. 3.3 p. 325). 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w:t>
      </w:r>
    </w:p>
    <w:p>
      <w:r>
        <w:rPr>
          <w:b/>
        </w:rPr>
        <w:t>E. 2.4</w:t>
      </w:r>
    </w:p>
    <w:p>
      <w:r>
        <w:t>Le Tribunal examine d'office sa compétence à raison de la matière (art. 59 al. 1 let. b et 60 CPC). A Genève, le Tribunal des baux et loyers connaît des litiges relatifs au contrat de bail à loyer (art. 253 à 273c CO) et au contrat de bail à ferme non agricole (art. 275 à 304 CO) portant sur une chose immobilière (art. 89 al. 1 let. a LOJ), alors que le Tribunal de première instance est compétent pour tous les actes de la juridiction civile contentieuse ou non contentieuse que la loi n'attribue pas à une autre autorité judiciaire ou administrative (art. 86 al. 1 LOJ). Dans la mesure où les cantons ont institué des autorités spécialisées, dont la composition est particulière, en l'occurrence paritaire, il y a lieu de respecter strictement les règles de compétence ratione materiae y relatives. Ainsi, le juge saisi d'une action possessoire doit décliner d'office sa compétence lorsque le litige relève de manière prépondérante du bail, afin de ne pas soustraire la cause à la connaissance de la juridiction spécialisée (arrêt du Tribunal fédéral 4P.155/2005 du 21 septembre 2005 consid. 3.4 et 3.5). Le défendeur à une requête de mesures provisionnelles tendant à la remise de la possession, peut rendre vraisemblable un droit préférable. Si ses moyens de preuve rendent vraisemblable qu'il existe un état de fait pouvant tomber sous le coup du droit du bail, le juge saisi doit décliner d'office sa compétence. Le juge statue non seulement en qualifiant l'action intentée d'après les conclusions prises, les allégués et les motifs invoqués à l’appui de celles-ci, mais également d'après les faits que le défendeur aura immédiatement allégués pour légitimer son droit à la possession (arrêt de la Chambre des recours du Tribunal cantonal vaudois du 29 avril 1998, in JdT 1999 III 2, consid. 3a) et 3b), cité par le Tribunal fédéral dans l’arrêt précité du 21 septembre 2005, consid. 3.5).</w:t>
      </w:r>
    </w:p>
    <w:p>
      <w:r>
        <w:rPr>
          <w:b/>
        </w:rPr>
        <w:t>E. 2.5</w:t>
      </w:r>
    </w:p>
    <w:p>
      <w:r>
        <w:t>En vertu du contrat de bail, le locataire se voit octroyer un droit d'utilisation de la chose et le bailleur perd celui-ci. Le locataire devient possesseur de la chose louée et il peut se prévaloir des droits attachés à la possession. Il peut ainsi, notamment, agir en cessation du trouble de la possession (art. 926-929 CC), y compris à l'encontre du bailleur (LACHAT, Le bail à loyer, Lausanne, 2008, n. 1.3.1 p. 74 et n. 1.3.2 p. 75). La sous-location est un contrat de bail à part entière (LACHAT, op. cit., n. 2.1 p. 566).</w:t>
      </w:r>
    </w:p>
    <w:p>
      <w:r>
        <w:t>- 10/12 -</w:t>
      </w:r>
    </w:p>
    <w:p>
      <w:r>
        <w:t>C/2749/2014</w:t>
      </w:r>
    </w:p>
    <w:p>
      <w:r>
        <w:rPr>
          <w:b/>
        </w:rPr>
        <w:t>E. 2.6</w:t>
      </w:r>
    </w:p>
    <w:p>
      <w:r>
        <w:t>En l'espèce, A______ doit ainsi rendre vraisemblable qu'elle avait la maîtrise effective de la mezzanine en tant que copossesseur, qu'elle a été dépossédée, que l'acte d'usurpation est illicite, que le litige ne concerne pas les rapports de droit qui la lient à B______ et que l'atteinte qu'elle subit risque de lui causer un préjudice difficilement réparable. Si l'une ou l'autre de ces conditions ne semble pas réalisée, l'appelante ne peut agir par la voie des mesures provisionnelles. Si ces conditions semblent prima facie réalisées, mais que les moyens de preuve que fait valoir l'intimée rendent plausible que l'état de fait tombe sous le coup du droit du bail, l'appelante peut solliciter le rétablissement de la copossession, mais devant la Juridiction des baux et loyers.</w:t>
      </w:r>
    </w:p>
    <w:p>
      <w:r>
        <w:rPr>
          <w:b/>
        </w:rPr>
        <w:t>E. 2.6.1</w:t>
      </w:r>
    </w:p>
    <w:p>
      <w:r>
        <w:t>Le litige porte sur l'interprétation du bail de sous-location conclu entre les parties, ce que l'appelante admet d'ailleurs expressément, de sorte que l'une des conditions rappelées ci-dessus n'est manifestement pas réalisée. Le Tribunal a, à juste titre, considéré que le litige concernait le bail de sous- location entre les parties. Il a toutefois retenu que de ce fait la requête de mesures provisionnelles devait être formée devant la Juridiction des baux et loyers. En application des principes rappelés ci-dessus, le Tribunal aurait dû rejeter la requête et non la déclarer irrecevable. L'ordonnance sera ainsi réformée sur ce point (art. 318 al. 1 let. b CPC). Les parties ne sont pas privées du double degré de juridiction (art. 75 LTF), puisque le Tribunal a examiné le point litigieux, sans cependant tirer de sa conclusion la conséquence qui s’imposait. L'ordonnance sera confirmée pour le surplus, vu l'issue de la procédure.</w:t>
      </w:r>
    </w:p>
    <w:p>
      <w:r>
        <w:rPr>
          <w:b/>
        </w:rPr>
        <w:t>E. 2.6.2</w:t>
      </w:r>
    </w:p>
    <w:p>
      <w:r>
        <w:t>Par surabondance de moyens, la Cour examinera si A______ a rendu vraisemblable qu'elle avait la maîtrise de la mezzanine en tant que copossesseur et qu'elle aurait ainsi été dépossédée. Ni le bail principal, ni le bail de sous-location ne mentionnent la mezzanine. Celle-ci existait cependant au moment de la conclusion du bail de sous-location; elle couvrait alors environ la moitié de l'atelier de 129 m². L'accès à la mezzanine se fait par un escalier qui se trouve dans la surface sous-louée à B______. Cet accès est séparé des locaux occupés par A______ au rez-de-chaussée par une porte munie d'une serrure et d'un code électronique. Ce code se trouve vraisemblablement dans les locaux de B______, puisque cette dernière a pu le modifier sans l'accord de A______. Seul C______ accédait aux locaux de B______ par cette porte. Les autres employés de B______ accèdent aux locaux de celle-ci, et donc à la mezzanine, par une porte indépendante. Cette différence s'expliquait sans doute par le statut particulier de C______, qui était à l'époque également actionnaire de B______. Les employés de A______ accèdent aux locaux de celle-ci depuis l'extérieur, sans passer par la surface occupée par B______. Les surfaces des deux sociétés sont ainsi distinctes et la mezzanine se trouve clairement du côté de la surface sous-louée à B______.</w:t>
      </w:r>
    </w:p>
    <w:p>
      <w:r>
        <w:t>- 11/12 -</w:t>
      </w:r>
    </w:p>
    <w:p>
      <w:r>
        <w:t>C/2749/2014 De plus, les pièces produites par B______ rendent plausible qu'en 2004 et 2005, celle-ci a assumé, au moins partiellement, les travaux de réfection et transformation de la mezzanine. L'appelante n'a produit aucune pièce à cet égard et C______ s'est borné à déclarer qu'il avait lui-même fermé la mezzanine, sans préciser s'il l'avait fait pour le compte de A______ ou de B______. Lors de l'audience du Tribunal du 18 mars 2014, l'appelante ne s'est pas prononcée sur les pièces déposées par l'intimé le 7 mars 2014, en particulier les factures dont il a été question dans la partie en fait sous lettre p. Au stade de la vraisemblance, ces éléments confirment que la mezzanine fait partie de la surface sous-louée à B______. Enfin, les déclarations du témoin H______ ne rendent pas vraisemblable la thèse de l'appelante selon laquelle la mezzanine aurait été mise à la disposition de B______ à bien plaire, sur la base d'un prêt. En effet, le témoin ignorait que C______ était employé de B______ et donc que son contrat de travail avait été résilié. Il apparaît plausible que c'était sur la base de son contrat de travail, ainsi que de son statut d'actionnaire, que C______ avait libre accès à la place de travail se trouvant dans la mezzanine. En définitive, A______ n'a pas rendu vraisemblable qu'elle était elle-même copossesseur de la mezzanine avant le changement du code d'accès de la porte de séparation des locaux et qu'elle mettait une place de travail à la disposition de l'administrateur de B______ à bien plaire, sur la base d'un contrat de prêt. Au stade de la vraisemblance, il apparaît en revanche que la mezzanine a été mise à la disposition de B______ avec les locaux du rez-de-chaussée, sur la base du bail de sous-location du 15 avril 2003 et que celle-ci mettait une place de travail à la disposition de C______, qui en avait la copossession en sa qualité d'employé. La requête devait être rejetée pour ces raisons également.</w:t>
      </w:r>
    </w:p>
    <w:p>
      <w:r>
        <w:rPr>
          <w:b/>
        </w:rPr>
        <w:t>E. 3</w:t>
      </w:r>
    </w:p>
    <w:p>
      <w:r>
        <w:t>L'appelante, qui succombe, supportera les frais de son appel (art. 106 al. 1 CPC), arrêtés à 1'000 fr. (art. 26 et 37 RTFMC), correspondant à l'avance déjà opérée, acquise à l'Etat (art. 111 al. 1 CPC). Elle versera à l’intimée 1'500 fr. à titre de dépens, débours et TVA compris (art. 84, 85, 88 et 90 RTFMC; art. 23 al. 1, 25 et 26 LaCC). * * * * *</w:t>
      </w:r>
    </w:p>
    <w:p>
      <w:r>
        <w:t>- 12/12 -</w:t>
      </w:r>
    </w:p>
    <w:p>
      <w:r>
        <w:t>C/2749/2014 PAR CES MOTIFS, La Chambre civile : A la forme : Déclare recevable l'appel interjeté le 24 avril 2014 par A______ contre l'ordonnance OTPI/573/2014 rendue le 14 avril 2014 par le Tribunal de première instance dans la cause C/2749/2014-19 SP. Au fond : Annule le chiffre 1 du dispositif de ladite ordonnance. Cela fait, statuant à nouveau : Déboute A______ de sa requête tendant au prononcé de mesures provisionnelles. Confirme l'ordonnance attaquée pour le surplus. Déboute les parties de toutes autres conclusions. Sur les frais d'appel : Arrête les frais judiciaires à 1'000 fr., compensés par l'avance de frais fournie par A______, acquise à l'Etat. Les met à la charge de A______. Condamne A______ à verser à B______ 1'500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