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ACJC/850/2021 vom 29. Juni 2021</w:t>
      </w:r>
    </w:p>
    <w:p>
      <w:r>
        <w:t>GE Cour de justice, 2021-06-29, FR</w:t>
      </w:r>
    </w:p>
    <w:p>
      <w:r>
        <w:rPr>
          <w:b/>
        </w:rPr>
        <w:t xml:space="preserve">Quelle: </w:t>
      </w:r>
      <w:r>
        <w:t>https://mcp.opencaselaw.ch/entscheid/ge_gerichte_ACJC_850_2021</w:t>
      </w:r>
    </w:p>
    <w:p>
      <w:r>
        <w:t>FR: GE_GERICHTE ACJC/850/2021 du 29 juin 2021</w:t>
      </w:r>
    </w:p>
    <w:p>
      <w:r>
        <w:t>IT: GE_GERICHTE ACJC/850/2021 del 29 giugno 2021</w:t>
      </w:r>
    </w:p>
    <w:p>
      <w:pPr>
        <w:pStyle w:val="Heading2"/>
      </w:pPr>
      <w:r>
        <w:t>Erwägungen</w:t>
      </w:r>
    </w:p>
    <w:p>
      <w:r>
        <w:rPr>
          <w:b/>
        </w:rPr>
        <w:t>E. 1.1</w:t>
      </w:r>
    </w:p>
    <w:p>
      <w:r>
        <w:t>Dans les affaires patrimoniales, l'appel est recevable contre les décisions de première instance si la valeur litigieuse au dernier état des conclusions est de 10'000 fr. au moins (art. 308 al. 1 et 2 CPC). Le recours est recevable contre les décisions de première instance qui ne peuvent pas faire l'objet d'un appel (art. 319 let. a CPC). Dans l'action en contestation de l'état de collocation, la valeur litigieuse n'équivaut pas au montant de la créance à colloquer. En effet, elle se détermine en fonction du dividende probable qui devrait revenir à la prétention litigieuse, soit en fonction du gain possible du procès (ATF 138 III 675 consid. 3.1; 135 III 545 consid. 1). L'estimation du dividende probable, déterminé par l'administration de</w:t>
      </w:r>
    </w:p>
    <w:p>
      <w:r>
        <w:t>- 11/17 -</w:t>
      </w:r>
    </w:p>
    <w:p>
      <w:r>
        <w:t>C/12339/2018 la faillite, lie le juge saisi de l'action en contestation de l'état de collocation (ATF 138 III 675 consid. 3.2.2). En l'espèce, le dividende prévisible afférent aux créances contestées (2 x 1.41% de 111'428 fr. 08) ne dépasse pas 10'000 fr., de sorte que seule la voie du recours est ouverte.</w:t>
      </w:r>
    </w:p>
    <w:p>
      <w:r>
        <w:t>Interjeté dans le délai de trente jours et suivant la forme prévue par la loi (art. 130, 131 et 321 al. 1 et 3 CPC), le recours est recevable.</w:t>
      </w:r>
    </w:p>
    <w:p>
      <w:r>
        <w:rPr>
          <w:b/>
        </w:rPr>
        <w:t>E. 1.2</w:t>
      </w:r>
    </w:p>
    <w:p>
      <w:r>
        <w:t>Dans le cadre d'un recours, la Cour doit conduire son raisonnement juridique sur la base des faits retenus par le premier juge et ne peut s'en écarter que s'ils ont été établis de façon manifestement inexacte, ce qui correspond à la notion d'arbitraire (art. 320 CPC). Autrement dit,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(ATF 137 I 58 consid. 4.1.2; 136 III 552 consid. 4.2). Il appartient dès lors au recourant de motiver en droit son recours et de démontrer l'arbitraire des faits retenus par l'instance inférieure (HOHL, Procédure civile, tome II, 2010, n° 2513 à 2515; CHAIX, Introduction au recours de la nouvelle procédure fédérale, in SJ 2009 II p. 264 et 265, n° 16 et 20).</w:t>
      </w:r>
    </w:p>
    <w:p>
      <w:r>
        <w:rPr>
          <w:b/>
        </w:rPr>
        <w:t>E. 2.1</w:t>
      </w:r>
    </w:p>
    <w:p>
      <w:r>
        <w:t>L'action en contestation de l'état de collocation selon l'art. 250 LP est une action de droit des poursuites avec effet réflexe de droit matériel (ATF 133 III 386, cons. 4.3.3, et les références citées). Elle a pour but de déterminer la masse passive, c'est-à-dire celle des créances qui participent à la répartition du patrimoine du débiteur failli, en fonction de leur existence, de leur montant, de leur rang et d'éventuels privilèges. L'action en contestation de l'état de collocation a pour seul but de corriger l'état de collocation et n'a pas davantage d'effet de chose jugée en dehors de la procédure de faillite que l'état de collocation lui- même. Le rapport d'obligation en tant que tel - entre le débiteur et le créancier - n'est ainsi pas déterminé de manière définitive. L'existence d'une créance est certes soumise à l'appréciation du juge, mais n'est pas l'objet d'un jugement définitif (ATF 133 III 386, cons. 4.3.3, et les références citées). Ce n'est qu'à titre préjudiciel que la question de l'existence et de l'étendue de la créance concernée fait l'objet d'un examen au fond fondé sur le droit matériel (Jaques, Commentaire romand, Poursuite pour dettes et faillite, 2005, n° 1 ad art. 250 LP). Qu'elle soit dirigée contre la masse (al. 1) ou contre un intervenant (al. 2), l'action en contestation permet la modification de la collocation des droits inscrits dans l'état de collocation ou des charges, tant du point de vue de leur montant que de leur rang ou - pour les créances garanties par un gage immobilier - de leur</w:t>
      </w:r>
    </w:p>
    <w:p>
      <w:r>
        <w:t>- 12/17 -</w:t>
      </w:r>
    </w:p>
    <w:p>
      <w:r>
        <w:t>C/12339/2018 exigibilité. La contestation doit viser une question de droit matériel (Jaques, op. cit., n° 2 ad art. 250 LP).</w:t>
      </w:r>
    </w:p>
    <w:p>
      <w:r>
        <w:rPr>
          <w:b/>
        </w:rPr>
        <w:t>E. 2.1.2</w:t>
      </w:r>
    </w:p>
    <w:p>
      <w:r>
        <w:t>Le fardeau de la preuve incombe au titulaire du droit qui fait l'objet de la contestation (art. 8 CC) : le demandeur dans l'action contre la masse (art. 250 al. 1 LP), le défendeur dans celle opposant deux intervenants (art. 250 al. 2 LP). L'action en contestation de l'état de collocation est donc une action provocatoire (ou "de jactance").</w:t>
      </w:r>
    </w:p>
    <w:p>
      <w:r>
        <w:t>2.2.1 La qualification juridique d’une relation comme contrat de travail n’est pas laissée à la libre appréciation des parties mais dépend des circonstances matérielles et objectives de la relation contractuelle (CAPH/128/2005 du 6 juin 2005). Selon l’article 320 CO, le contrat de travail n’est soumis à aucune forme spéciale, sauf disposition contraire de la loi. Par le contrat de travail, le travailleur s’engage, pour une durée déterminée ou indéterminée, à travailler au service de l’employeur, et celui-ci à payer un salaire fixé d’après le temps ou le travail fourni. Le contrat de travail est ainsi caractérisé par les quatre critères suivants : la prestation personnelle de travail, la rémunération, la mise à disposition par le travailleur de son temps pour une durée déterminée ou indéterminée, et l’existence d’un rapport de subordination (AUBERT, CR-CO, n° 1 ad art. 319 CO). La relation juridique liant un membre du conseil d’administration d’une société anonyme à cette dernière peut être qualifiée, selon les cas, de contrat de travail, de contrat de mandat, ou de contrat innomé analogue au mandat (ATF 121 I 259 c. 3a). La distinction dépend alors essentiellement des critères suivants : le contrôle économique exercé ou non sur la personne morale, l’existence d’un rapport de subordination juridique, le temps de travail convenu (à temps complet, à temps partiel ou à la tâche), et le mode de rémunération (CAPH/128/2005 du 6 juin 2005). 2.2.2 En droit du travail, il incombe au travailleur de prouver qu'il a effectué les heures supplémentaires au sens de l'art. 321c CO et de prouver la quotité des heures dont il demande la rétribution (art. 8 CC; ATF 129 III 171 consid. 2.4; arrêts du Tribunal fédéral 4A_28/2018 du 12 septembre 2018 consid. 3; 4A_482/2017 du 17 juillet 2018 consid. 2.1). S'il n'est pas possible d'établir le nombre exact d'heures effectuées, le juge peut, par application analogique de l'art. 42 al. 2 CO, en estimer la quotité. Si l'art. 42 al. 2 CO allège le fardeau de la preuve, il ne dispense pas le travailleur de fournir au juge, dans la mesure raisonnablement exigible, tous les éléments constituant des indices du nombre</w:t>
      </w:r>
    </w:p>
    <w:p>
      <w:r>
        <w:t>- 13/17 -</w:t>
      </w:r>
    </w:p>
    <w:p>
      <w:r>
        <w:t>C/12339/2018 d'heures supplémentaires accomplies (ATF 133 III 462 consid. 4.4.2; 122 III 219 consid. 3a; arrêt du Tribunal fédéral 4A_482/2017 précité consid. 2.1). La conclusion selon laquelle les heures supplémentaires ont été réellement effectuées dans la mesure alléguée doit s'imposer au juge avec une certaine force (arrêt du Tribunal fédéral 4A_484/2017 du 17 juillet 2018 consid. 2.3 et les références citées). 2.2.3 Selon la jurisprudence, à défaut d'une réglementation expresse du temps de travail, les cadres supérieurs ne peuvent prétendre à une indemnisation des heures supplémentaires effectuées que lorsqu'ils se voient confier des tâches excédant leur cahier des charges, ou lorsque l'ensemble du personnel a dû fournir un nombre conséquent d'heures supplémentaires pendant une certaine durée. Cela étant, l'art. 321c CO s'applique aussi aux cadres supérieurs dans la mesure où leur horaire a été expressément défini par le contrat (ATF 129 III 171 consid. 2.1; arrêt du Tribunal fédéral 4A_172/2012 du 22 août 2012 consid. 4.3.2). En principe, un cadre dirigeant ne peut donc prétendre à la rémunération des heures supplémentaires, car il a la liberté de répartir son travail et le surcroît de travail est compensé par un salaire de base plus élevé. Cette règle ne vaut cependant pas lorsque, dans le contrat de travail, les parties ont expressément prévu une indemnisation des heures supplémentaires ou une durée déterminée de travail, pour autant que, dans ce dernier cas, les parties n'aient pas exclu par écrit la rémunération des heures supplémentaires, conformément à l'art. 321c al. 3 CO. Selon la doctrine, il faut dénier à un cadre qui dispose non seulement d'une autonomie dans la gestion de son temps, mais également de la responsabilité d'organiser le travail et les horaires au sein de la structure, la possibilité de réclamer des heures supplémentaires; en raison de la délégation ou de l'attribution de pouvoir d'organiser le temps de travail au sein de leur équipe, ils doivent également organiser leur propre travail de manière à ne pas effectuer d'heures supplémentaires (WYLER/HEINZER, Droit du travail, 4ème éd. 2019, p. 144 et suivantes).</w:t>
      </w:r>
    </w:p>
    <w:p>
      <w:r>
        <w:rPr>
          <w:b/>
        </w:rPr>
        <w:t>E. 2.3</w:t>
      </w:r>
    </w:p>
    <w:p>
      <w:r>
        <w:t>En l'espèce, avec le Tribunal, il convient de retenir que la question de savoir si les recourants étaient liés à la société faillie par un contrat de travail ou pas souffre de rester indécise. En effet, quand bien même l'existence de rapports de travail devait être admise, force est de constater que les recourants occupaient au sein de l'entreprise une fonction dirigeante élevée, comme ils l'ont eux-mêmes reconnu. En plus d'être membres du conseil d'administration de la société, avec signature collective à deux, les recourants n'étaient pas soumis à un horaire de travail fixe et avaient le pouvoir d'organiser leur activité. Ils étaient d'ailleurs considéré les patrons, de sorte que pour cette raison déjà ils ne sauraient prétendre à une indemnisation des heures supplémentaires.</w:t>
      </w:r>
    </w:p>
    <w:p>
      <w:r>
        <w:t>- 14/17 -</w:t>
      </w:r>
    </w:p>
    <w:p>
      <w:r>
        <w:t>C/12339/2018 Les recourants n'ont produit ni des documents écrits fiables formalisant les contours de leur activité, ni des fiches ou attestations de salaire. Le contrat produit, intitulé contrat de travail, fait référence à l'activité d'administrateur d'un des deux frères et mentionne une rémunération de moins de 6'000 fr. par mois, laquelle est largement inférieure à celle que l'intéressé affirme avoir reçue (de l'ordre de 10'000 fr. par mois), de sorte que cette pièce n'est pas probante. Les recourants n'ont pas non plus fourni des indices suffisants permettant de déterminer, ne serait-ce que de manière approximative, leurs horaires de travail effectifs et le nombre d'heures supplémentaires qu'ils auraient accomplies en 2013 pour le compte de la société faillie. Leur allégation selon laquelle ils auraient accompli chacun exactement 120 heures supplémentaires par mois, ne repose sur aucun élément concret. Il est par ailleurs très improbable que les deux frères aient eu le même emploi du temps. Les tableaux "contrôle des présences et du travail", datés du 2 mars 2018, sont largement postérieurs à 2013 et ont été signés par les recourants eux-mêmes alors que la faillite de la société avait déjà été prononcée, de sorte qu'ils ne sont pas probants. Selon les éléments du dossier, en 2013, les recourants étaient actifs aussi bien au sein du club, appartenant à la faillie, qu'au sein du restaurant, ayant la même enseigne mais appartenant à une autre société (K______). Ils étaient censés être rémunérés pour les deux activités, à raison de 10'000 fr. chacun par mois et par établissement. Aussi, quand bien même les recourants auraient effectivement travaillé 12 à 14 heures par jour, comme ils l'ont allégués devant le premier juge, rien n'établit qu'ils l'auraient fait exclusivement pour le compte du club et non pas du restaurant, leur rémunération identique suggérant qu'ils étaient censés s'investir de manière équivalente dans les deux exploitations.</w:t>
      </w:r>
    </w:p>
    <w:p>
      <w:r>
        <w:t>Eu égard à ces considérations et alors qu'ils ont le fardeau de la preuve, les recourants n'ont pas fourni d'indices suffisants permettant d'établir, même de manière approximative, le nombre d'heures supplémentaires qu'ils auraient accomplies, de sorte que, même sous l'angle de l'art. 42 al. 2 CO, leurs prétentions doivent être rejetées, ce raisonnement valant aussi pour les autres prétentions.</w:t>
      </w:r>
    </w:p>
    <w:p>
      <w:r>
        <w:t>Le jugement entrepris sera donc confirmé en tant qu'il a écarté de l'état de collocation les productions des recourants. Mal fondé, le recours sera ainsi rejeté.</w:t>
      </w:r>
    </w:p>
    <w:p>
      <w:r>
        <w:rPr>
          <w:b/>
        </w:rPr>
        <w:t>E. 3</w:t>
      </w:r>
    </w:p>
    <w:p>
      <w:r>
        <w:t>Les frais judiciaires du recours, arrêtés à 1'200 fr. (art. 95 al. 1 et 2, 104 al. 1, 105 et 106 al. 1 CPC; art. 17 et 35 RTFMC), seront mis à la charge des recourants qui</w:t>
      </w:r>
    </w:p>
    <w:p>
      <w:r>
        <w:t>- 15/17 -</w:t>
      </w:r>
    </w:p>
    <w:p>
      <w:r>
        <w:t>C/12339/2018 succombent (art. 106 al. 1 CPC) et partiellement compensés avec l'avance de frais de 600 fr. effectuée par eux, qui reste acquises à l'Etat de Genève (art. 111 al 1 CPC). Les recourants seront ainsi condamnés à verser 600 fr. à l'Etat de Genève, soit pour lui les Services financiers du Pouvoir judiciaire, à titre de frais judiciaires de recours.</w:t>
      </w:r>
    </w:p>
    <w:p>
      <w:r>
        <w:t>Ils seront aussi condamnés, solidairement entre eux, aux dépens de recours de leur partie adverse, arrêtés à 2'000 fr., TVA et débours compris (art. 85 et 88 RTFMC; art. 25 et 26 LaCC).</w:t>
      </w:r>
    </w:p>
    <w:p>
      <w:r>
        <w:t>- 16/17 -</w:t>
      </w:r>
    </w:p>
    <w:p>
      <w:r>
        <w:t>C/12339/2018 PAR CES MOTIFS, La Chambre civile : A la forme : Déclare recevable le recours interjeté le 4 septembre 2020 par A______ et B______ contre le jugement JTPI/8461/2020 rendu le 29 juin 2020 par le Tribunal de première instance dans la cause C/12339/2018. Au fond : Le rejette. Déboute les parties de toutes autres conclusions. Sur les frais : Arrête les frais judiciaires du recours à 1'200 fr., les met à la charge A______ et B______, solidairement entre eux, et dit qu'ils sont partiellement compensés par l'avance effectuée, laquelle demeure acquises à l'Etat. Condamne A______ et B______, solidairement entre eux, à verser 600 fr. à l'Etat de Genève, soit pour lui les Services financiers du Pouvoir judiciaire, au titre de frais judiciaires de recours. Condamne A______ et B______, solidairement entre eux, à verser à C______ SA la somme de 2'000 fr. à titre de dépens de recours. Siégeant : Madame Jocelyne DEVILLE-CHAVANNE, présidente; Madame Verena PEDRAZZINI RIZZI, Madame Nathalie LANDRY-BARTHE, juges; Madame Jessica ATHMOUNI, greffière.</w:t>
      </w:r>
    </w:p>
    <w:p>
      <w:r>
        <w:t>- 17/17 -</w:t>
      </w:r>
    </w:p>
    <w:p>
      <w:r>
        <w:t>C/12339/2018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