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ACJC/845/2018 vom 15. Juni 2018</w:t>
      </w:r>
    </w:p>
    <w:p>
      <w:r>
        <w:t>GE Cour de justice, 2018-06-15, FR</w:t>
      </w:r>
    </w:p>
    <w:p>
      <w:r>
        <w:rPr>
          <w:b/>
        </w:rPr>
        <w:t xml:space="preserve">Quelle: </w:t>
      </w:r>
      <w:r>
        <w:t>https://mcp.opencaselaw.ch/entscheid/ge_gerichte_ACJC_845_2018</w:t>
      </w:r>
    </w:p>
    <w:p>
      <w:r>
        <w:t>FR: GE_GERICHTE ACJC/845/2018 du 15 juin 2018</w:t>
      </w:r>
    </w:p>
    <w:p>
      <w:r>
        <w:t>IT: GE_GERICHTE ACJC/845/2018 del 15 giugno 2018</w:t>
      </w:r>
    </w:p>
    <w:p>
      <w:pPr>
        <w:pStyle w:val="Heading2"/>
      </w:pPr>
      <w:r>
        <w:t>Erwägungen</w:t>
      </w:r>
    </w:p>
    <w:p>
      <w:r>
        <w:rPr>
          <w:b/>
        </w:rPr>
        <w:t>E. 1.1</w:t>
      </w:r>
    </w:p>
    <w:p>
      <w:r>
        <w:t>L'art. 308 al. 1 let. b CPC ouvre la voie de l'appel contre les ordonnances de mesures provisionnelles rendues dans les causes non patrimoniales, telles les affaires relatives à la protection de la personnalité ne portant pas exclusivement sur des dommages-intérêts (ATF 142 III 145 consid. 6; arrêt du Tribunal fédéral 5A_761/2014 du 26 février 2015 consid. 1.2).</w:t>
      </w:r>
    </w:p>
    <w:p>
      <w:r>
        <w:t>Les mesures provisionnelles étant régies par la procédure sommaire (art. 248 let. d CPC), le délai d'appel est de dix jours (art. 314 al. 1 CPC).</w:t>
      </w:r>
    </w:p>
    <w:p>
      <w:r>
        <w:t>- 5/9 -</w:t>
      </w:r>
    </w:p>
    <w:p>
      <w:r>
        <w:t>C/2353/2018</w:t>
      </w:r>
    </w:p>
    <w:p>
      <w:r>
        <w:t>En l'espèce, formé en temps utile par une personne qui y a un intérêt, l'appel est recevable.</w:t>
      </w:r>
    </w:p>
    <w:p>
      <w:r>
        <w:rPr>
          <w:b/>
        </w:rPr>
        <w:t>E. 1.2</w:t>
      </w:r>
    </w:p>
    <w:p>
      <w:r>
        <w:t>L'appel peut être formé pour violation du droit (art. 310 let. a CPC) et constatation inexacte des faits (art. 310 let. b CPC). Le juge d'appel dispose d'un plein pouvoir d'examen de la cause en fait et en droit (ATF 138 III 374 consid. 4.3.1).</w:t>
      </w:r>
    </w:p>
    <w:p>
      <w:r>
        <w:rPr>
          <w:b/>
        </w:rPr>
        <w:t>E. 1.3</w:t>
      </w:r>
    </w:p>
    <w:p>
      <w:r>
        <w:t>En matière de mesures provisionnelles (art. 261 al. 1 CPC), la cognition du juge est limitée à la simple vraisemblance des faits et à un examen sommaire du droit, en se fondant sur les moyens de preuve immédiatement disponibles (ATF 138 III 636 consid. 4.3.2; arrêt du Tribunal fédéral 5A_812/2015 du</w:t>
      </w:r>
    </w:p>
    <w:p>
      <w:r>
        <w:rPr>
          <w:b/>
        </w:rPr>
        <w:t>E. 6</w:t>
      </w:r>
    </w:p>
    <w:p>
      <w:r>
        <w:t>septembre 2016 consid. 5.2).</w:t>
      </w:r>
    </w:p>
    <w:p>
      <w:r>
        <w:t>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(arrêt du Tribunal fédéral 5A_84/2016 du 5 septembre 2016 consid. 4.1).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consid. 2.3; arrêt du Tribunal fédéral 5A_1016/2015 du 15 septembre 2016 consid. 5.3).</w:t>
      </w:r>
    </w:p>
    <w:p>
      <w:r>
        <w:t>1.4.1 La Cour examine d'office la recevabilité des faits et des moyens de preuve nouveaux en appel (REETZ / HILBER, Kommentar zur Schweizerischen Zivilprozessordnung [ZPO], 3ème éd, 2016, n. 26 ad art. 317 CPC).</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t>1.4.2 Les parties ont chacune produit des pièces nouvelles devant la Cour. Celles- ci étant postérieures à la date à laquelle le Tribunal a gardé la cause à juger, elles sont donc recevables. Est en revanche irrecevable le courrier de l'appelante adressé à la Cour après que la cause avait été gardée à juger. 2. Le Tribunal a considéré que les violences subies par l'appelante étaient rendues vraisemblables mais que, ayant quitté le logement et trouvé résidence à l'hôtel I______ depuis plusieurs semaines, aucun risque d'atteinte à sa personnalité n'apparaissait vraisemblable, observant par ailleurs que la procédure en évacuation devant le Tribunal des baux et loyers devrait se prononcer à brève échéance, une</w:t>
      </w:r>
    </w:p>
    <w:p>
      <w:r>
        <w:t>- 6/9 -</w:t>
      </w:r>
    </w:p>
    <w:p>
      <w:r>
        <w:t>C/2353/2018 décision emportant, le cas échéant, le départ de l'intimé du logement commun, raisons pour lesquelles il ne se justifiait pas d'accorder à l'appelante une protection provisoire.</w:t>
      </w:r>
    </w:p>
    <w:p>
      <w:r>
        <w:t>2.1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w:t>
      </w:r>
    </w:p>
    <w:p>
      <w:r>
        <w:t>L'art. 28b al. 2 CC permet notamment de prononcer, pour une durée déterminée, l'expulsion de l'auteur de violence - sous toutes ses formes, pour autant qu'elle atteigne une certaine intensité -, de menaces sérieuses - soit de nature à faire craindre des violences d'une certaine intensité envers la personne menacée ou ses proches -, ou encore de harcèlement - soit d'atteintes répétées à la vie privée engendrant chez la victime un sentiment de crainte - (STEINAUER / FOUNTOULAKIS, Droit des personnes physiques et de la protection de l'adulte, 2014, n. 585; SJ 2011 I 65; JEANDIN / PEYROT, in Commentaire romand du Code civil I, 2010, n. 12 ss ad art. 28b CC), du logement commun partagé avec la victime, le but étant de mettre fin à la vie commune pour prévenir de nouvelles atteintes. Si la victime peut craindre de nouvelles atteintes et que l'auteur des atteintes n'accepte pas de quitter définitivement le logement, c'est la victime qui, à terme, doit trouver à se reloger. La durée de l'expulsion doit notamment lui permettre de le faire dans de bonnes conditions. Toutefois, si cela paraît équitable au vu des circonstances et avec l'accord du bailleur, le juge peut attribuer à la seule victime les droits et obligations qui résultent du contrat de bail, en application de l'art. 28b al. 3 ch. 2 CC. En ce cas, l'auteur de l'atteinte peut être durablement empêché de réintégrer le logement commun si la victime l'estime nécessaire.</w:t>
      </w:r>
    </w:p>
    <w:p>
      <w:r>
        <w:t>2.2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w:t>
      </w:r>
    </w:p>
    <w:p>
      <w:r>
        <w:t>- 7/9 -</w:t>
      </w:r>
    </w:p>
    <w:p>
      <w:r>
        <w:t>C/2353/2018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 du Tribunal fédéral 5A_377/2009 du 3 septembre 2009 consid. 5.3.2).</w:t>
      </w:r>
    </w:p>
    <w:p>
      <w:r>
        <w:t>Nonobstant son caractère hybride - de mesure à caractère provisoire et de mesure au fond - la mesure d'expulsion de l'art. 28b al. 2 CC est en principe de durée déterminée. La doctrine relève que lorsqu'elle est prononcée dans le cadre d'une procédure provisionnelle, elle n'est alors soumise ni à l'exigence d'une période déterminée, ni à celle d'une prolongation unique (JEANDIN / PEYROT, op. cit., n. 22 ad art. 28b CC et les réf. cit.). A l'inverse, la mesure d'attribution des droits et obligations découlant du bail, en application de l'art. 28b al. 3 ch. 2 CC, apparaît conçue comme une mesure définitive, au fond, non susceptible d'être prononcée par voie de mesures provisionnelles (JEANDIN / PEYROT, op. cit., n. 32 ad art. 28b CC).</w:t>
      </w:r>
    </w:p>
    <w:p>
      <w:r>
        <w:t>2.3 En l'espèce, l'appelante soutient que les événements qu'elle a dénoncés constitueraient des actes de violence nécessitant une protection immédiate et que le refus de cette protection ne lui laissait que le choix de retourner à son domicile et de risquer d'être frappée à nouveau ou de rester dans un logement d'urgence avec sa fille, supportant ainsi tous les inconvénients de cette situation sans pouvoir obtenir de protection de la loi.</w:t>
      </w:r>
    </w:p>
    <w:p>
      <w:r>
        <w:t>Il résulte du dossier que l'appelante a dénoncé des faits au Ministère public que celui-ci n'a pas considéré comme suffisamment graves pour ouvrir une instruction, ce qui atteste d'un degré de violence d'importance relative. Il n'est d'ailleurs pas allégué que l'ordonnance de non-entrée en matière du Ministère public aurait été frappée de recours. Les constats médicaux, contestés, révèlent un hématome au niveau de la joue gauche, une contusion du bras gauche sur une surface de deux centimètres et des griffures sur une épaule. En conséquence, la conjugaison de ces éléments ne parait pas suffisante pour retenir, au stade de la vraisemblance, que les actes dénoncés, en soi inadmissibles et constitutifs de violence comme l'a retenu le premier juge, seraient d'une intensité suffisante sous l'angle de l'art. 28b CC pour appliquer cette disposition.</w:t>
      </w:r>
    </w:p>
    <w:p>
      <w:r>
        <w:t>Au surplus, depuis la dernière dénonciation remontant au 18 janvier 2018, l'appelante ne conteste pas avoir été en contact avec l'intimé dans l'appartement et n'allègue pas avoir subi des menaces ou des violences en ces occasions. Or, sa présence dans l'appartement, qu'elle limite à des activités strictement ménagères en l'absence de l'intimé, est rendue vraisemblable les 21, 23, 25 et 27 février 2018, non seulement dans la cuisine mais également au salon, par des photos et des témoignages, et ce alors que l'intimé s'y trouvait aussi. Il ne saurait dès lors être retenu d'urgence à intervenir pour permettre à l'appelante d'exercer une activité</w:t>
      </w:r>
    </w:p>
    <w:p>
      <w:r>
        <w:t>- 8/9 -</w:t>
      </w:r>
    </w:p>
    <w:p>
      <w:r>
        <w:t>C/2353/2018 qu'elle déploie déjà, ou encore, et alors que les pièces produites démontrent, même si elle s'en défend, que l'appelante a résilié le bail de l'appartement qu'elle voudrait réintégrer hors la présence de l'intimé et cherche à se reloger rapidement ailleurs, avec l'appui de la LAVI.</w:t>
      </w:r>
    </w:p>
    <w:p>
      <w:r>
        <w:t>L'ensemble de ces circonstances, notamment l'intensité relative des atteintes et la volonté avérée de l'appelante de chercher un autre logement, ne permet pas non plus de retenir que la présence commune des parties dans l'appartement risquerait de porter atteinte à la personnalité de l'appelante, ce d'autant que s'y trouve, d'après les propres déclarations de cette dernière, ses deux enfants aînés, âgés de 29 et 30 ans, et qu'il s'agit d'un logement de sept pièces qui n'implique nulle promiscuité insurmontable. Par conséquent, la décision entreprise sera confirmée. 3. L'appelante, qui succombe, sera condamnée aux frais judiciaires de recours (art. 106 al. 1 et 3 CPC), arrêtés à 400 fr. L'appelante étant au bénéfice de l'assistance judiciaire, ces frais seront provisoirement supportés par l'Etat de Genève (art. 22 et 23 RAJ), lequel pourra en réclamer ultérieurement le remboursement si les conditions de l'art. 123 CPC sont remplies.</w:t>
      </w:r>
    </w:p>
    <w:p>
      <w:r>
        <w:t>Pour les mêmes motifs, l'appelante sera condamnée à verser à l'intimé 750 fr. de dépens d'appel, débours et TVA inclus (art. 86 RTFMC; art. 25 et 26 LaCC). * * * * * *</w:t>
      </w:r>
    </w:p>
    <w:p>
      <w:r>
        <w:t>- 9/9 -</w:t>
      </w:r>
    </w:p>
    <w:p>
      <w:r>
        <w:t>C/2353/2018 PAR CES MOTIFS, La Chambre civile : A la forme : Déclare recevable l'appel interjeté par A______ contre l'ordonnance JTPI/OTPI/192/2018 rendu le 3 avril 2018 par le Tribunal de première instance dans la cause C/2353/2018-9 SP. Au fond : Confirme cette ordonnance. Déboute les parties de toutes autres conclusions. Sur les frais : Arrête les frais judiciaires d'appel à 400 fr. et les met à la charge de A______ et dit qu'ils seront provisoirement supportés par l'Etat de Genève. Condamne A______ à verser à B______ la somme de 750 fr. à titre de dépens. Siégeant : Madame Fabienne GEISINGER-MARIETHOZ, présidente; Monsieur Laurent RIEBEN, juge, Monsieur Louis PEILA, juge suppléant; Madame Céline FERREIRA, greffière. La présidente : Fabienne GEISINGER- 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