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ACJC/843/2024 vom 30. Oktober 2023</w:t>
      </w:r>
    </w:p>
    <w:p>
      <w:r>
        <w:t>GE Cour de justice, 2023-10-30, FR</w:t>
      </w:r>
    </w:p>
    <w:p>
      <w:r>
        <w:rPr>
          <w:b/>
        </w:rPr>
        <w:t xml:space="preserve">Quelle: </w:t>
      </w:r>
      <w:r>
        <w:t>https://mcp.opencaselaw.ch/entscheid/ge_gerichte_ACJC_843_2024</w:t>
      </w:r>
    </w:p>
    <w:p>
      <w:r>
        <w:t>FR: GE_GERICHTE ACJC/843/2024 du 30 octobre 2023</w:t>
      </w:r>
    </w:p>
    <w:p>
      <w:r>
        <w:t>IT: GE_GERICHTE ACJC/843/2024 del 30 ottobre 2023</w:t>
      </w:r>
    </w:p>
    <w:p>
      <w:pPr>
        <w:pStyle w:val="Heading2"/>
      </w:pPr>
      <w:r>
        <w:t>Erwägungen</w:t>
      </w:r>
    </w:p>
    <w:p>
      <w:r>
        <w:rPr>
          <w:b/>
        </w:rPr>
        <w:t>E. 1.1</w:t>
      </w:r>
    </w:p>
    <w:p>
      <w:r>
        <w:t>Interjeté selon la forme et dans le délai prescrits, contre une décision incidente dans une affaire patrimoniale dont la valeur litigieuse est supérieure à 10'000 fr., l'appel est recevable (art. 308 al. 1 let. a et al. 2 et 311 al. 1 CPC).</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la limite des griefs que les parties adressent à la motivation du premier jugement, lesquels forment le cadre de l'examen de la cour d'appel (ATF 144 III 394 consid. 4.1.4; 142 III 413 consid. 2.2.4).</w:t>
      </w:r>
    </w:p>
    <w:p>
      <w:r>
        <w:rPr>
          <w:b/>
        </w:rPr>
        <w:t>E. 2</w:t>
      </w:r>
    </w:p>
    <w:p>
      <w:r>
        <w:t>L'appelante a invoqué une constatation inexacte des faits et l'intimée soutient que certains des faits allégués dans l'appel sont nouveaux et donc irrecevables. L'était de fait a été complété supra dans la mesure utile en tenant compte des griefs soulevés par les parties.</w:t>
      </w:r>
    </w:p>
    <w:p>
      <w:r>
        <w:rPr>
          <w:b/>
        </w:rPr>
        <w:t>E. 3</w:t>
      </w:r>
    </w:p>
    <w:p>
      <w:r>
        <w:t>L'appelante reproche au Tribunal de ne pas avoir examiné quelles étaient les parties au contrat, à la lumière des principes résultant de l'art. 18 CO. Elle avait toujours voulu se lier à F______ et il ne ressortait pas des pièces figurant à la procédure que l'intimée aurait souhaité se lier à elle et réciproquement.</w:t>
      </w:r>
    </w:p>
    <w:p>
      <w:r>
        <w:rPr>
          <w:b/>
        </w:rPr>
        <w:t>E. 3.1.1</w:t>
      </w:r>
    </w:p>
    <w:p>
      <w:r>
        <w:t>Le succès de toute action en justice suppose que les parties demanderesse et défenderesse aient respectivement, sur chacune des prétentions en cause, qualité pour agir et pour défendre au regard du droit applicable (ATF 136 III 365 consid. 2.1 p. 367; 126 III 59 consid. 1a p. 63). Selon le principe de la relativité des conventions, qui n'est pas codifié en droit suisse mais est néanmoins consacré dans notre ordre juridique (cf. ATF 136 III 14 consid. 2.3 p. 18/19; 131 III 217 consid. 4.2 i.f. p. 221; MORIN, Commentaire romand, 3ème éd., 2021, n. 40 ad art. 1 CO), le contrat ne déploie en principe ses effets qu'entre les parties. La qualité pour agir (communément qualifiée de légitimation active) relève du fondement matériel de l'action; elle appartient au sujet actif du droit invoqué en justice (ATF 142 III 782 consid. 3.1.3.2; 130 III 417 consid. 3.1 et 3.4; 126 III 59 consid. 1a; 125 III 82 consid. 1a; arrêts 4A_397/2018 du 5 septembre 2019 consid. 3.1; 4A_619/2016 du 15 mars 2017 consid. 3). Le défaut de qualité pour agir n'est en principe pas susceptible de rectification; il entraîne le rejet de la</w:t>
      </w:r>
    </w:p>
    <w:p>
      <w:r>
        <w:t>- 9/14 -</w:t>
      </w:r>
    </w:p>
    <w:p>
      <w:r>
        <w:t>C/23469/2021 demande (ATF 142 III 782 consid. 3.1.3; arrêt du Tribunal fédéral 4A_127/2022 du 28 juin 2022 consid. 3.3). Dans une action en paiement, la qualité pour agir appartient au créancier de la somme réclamée.</w:t>
      </w:r>
    </w:p>
    <w:p>
      <w:r>
        <w:rPr>
          <w:b/>
        </w:rPr>
        <w:t>E. 3.1.2</w:t>
      </w:r>
    </w:p>
    <w:p>
      <w:r>
        <w:t>Le contrat est parfait lorsque les parties ont, réciproquement et d’une manière concordante, manifesté leur volonté (art. 1 CO). Pour déterminer si un contrat a été conclu, quels en sont les cocontractants et quel en est le contenu, le juge doit interpréter les manifestations de volonté des parties (ATF 144 III 93 consid. 5.2; arrêt 4A_180/2022 du 5 juillet 2022 consid. 4.2).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(ATF 144 III 93 consid. 5.2.3 et les références citées).</w:t>
      </w:r>
    </w:p>
    <w:p>
      <w:r>
        <w:rPr>
          <w:b/>
        </w:rPr>
        <w:t>E. 3.2</w:t>
      </w:r>
    </w:p>
    <w:p>
      <w:r>
        <w:t>En l'espèce, le Tribunal a examiné en quelle qualité F______ avait agi ou voulu agir, à savoir à titre personnel ou en qualité de représentant de l'intimée et, dans cette deuxième hypothèse, qu'il a retenue, si cette dernière avait ratifié les actes du précité. La conclusion du contrat nécessite toutefois un accord de volonté des parties et la volonté de F______ n'était, quoi qu'il en soit, pas à elle seule décisive. Il convient bien plus d'examiner, en premier lieu, quelle était la volonté de F______, d'une part, et, d'autre part, de l'appelante lors de la signature du</w:t>
      </w:r>
    </w:p>
    <w:p>
      <w:r>
        <w:t>- 10/14 -</w:t>
      </w:r>
    </w:p>
    <w:p>
      <w:r>
        <w:t>C/23469/2021 contrat pour déterminer si un accord a effectivement été conclu entre eux ou s'il a été conclu par F______ en qualité de représentant de l'intimée. A cet égard, il ressort du contrat litigieux qu'il indique comme partie audit contrat F______, et non l'intimée, même si le nom et l'adresse de cette dernière figure après le nom du précité, alors que l'appelante, représentée par son administrateur unique, est désignée expressément, quant à elle, comme cocontractante. Le contrat est par ailleurs signé par F______, sans aucune mention selon laquelle il agirait comme représentant de l'intimée, à la différence de l'appelante dont le nom de son administrateur est mentionné, mais avec la précision qu'il agit comme représentant de l'intimée. Il ressort de ce qui précède qu'il est clairement indiqué si une partie agit comme représentant d'une société et F______ ne peut avoir ignoré la distinction opérée dans la mesure où il travaille depuis une quarantaine d'années dans son domaine. Le contrat, dont le texte est clair, prévoit par ailleurs des droits et obligations à l'égard de F______ nommément désigné, sans que le nom de l'intimée soit mentionné d'une quelconque manière. Or, il est peu vraisemblable que F______ ait voulu conclure pour le compte de l'intimée un contrat qui aurait comporté notamment le versement d'honoraires en sa propre faveur. Au surplus, l'appelante a adressé la résiliation du contrat à F______ à titre personnel, sans mention de l'intimée, mettant ainsi un terme immédiat au mandat "qui [lui] a été confié". F______ a répondu, en contestant une mauvaise exécution des mandats "qui [lui] ont été confiés", sans utiliser de papier à en-tête de l'intimée et sans signer en qualité de représentant de l'intimée. F______ a certes joint à son courrier de réponse deux factures établies au nom de l'intimée, sans toutefois fournir à cette occasion d'explication permettant de comprendre pourquoi les honoraires seraient dus à l'intimée alors que le mandat lui avait été confié à lui et que ledit contrat prévoyait que les honoraires lui étaient dus. De plus, il ressort des explications de l'appelante devant le Tribunal qu'elle s'est adressée à F______ au motif qu'elle avait précédemment collaboré avec lui, alors qu'il exerçait à titre indépendant, dans des bureaux de tiers, et non comme employé de l'intimée, ce dont il faut déduire qu'elle souhaitait s'attacher les services de F______ personnellement, en raison de ses compétences, et non de celles de l'intimée. Quant à F______, il a exposé devant le Tribunal qu'il avait signé le contrat "à titre personnel", même s'il a ajouté qu'il avait immédiatement indiqué à l'appelante qu'il travaillait pour l'intimée et que le contrat devait être modifié. Il ne ressort par ailleurs pas de ses déclarations devant le Tribunal qu'il a voulu signer le contrat en qualité de représentant de l'intimée et pour le compte de cette dernière. Il n'a en outre pas informé l'intimée de la conclusion de ce contrat puisque le représentant</w:t>
      </w:r>
    </w:p>
    <w:p>
      <w:r>
        <w:t>- 11/14 -</w:t>
      </w:r>
    </w:p>
    <w:p>
      <w:r>
        <w:t>C/23469/2021 de cette dernière a déclaré devant le Tribunal qu'il n'en avait eu connaissance qu'au moment de réunir les pièces utiles dans le cadre de la présente procédure. Il paraît par ailleurs peu crédible qu'il puisse avoir voulu engager l'intimée en signant un contrat le désignant expressément comme partie et prévoyant le versement d'honoraires en sa faveur, et cela sans même informer l'intimée de la conclusion dudit contrat. Ainsi, au vu de l'ensemble de ces éléments, il doit être retenu qu'au moment de la conclusion du contrat, la volonté commune des parties était que celui-ci soit conclu entre, d'une part, F______ et, d'autre part, l'appelante. Certains éléments pouvaient certes permettre à l'appelante de penser que F______ était employé par l'intimée, comme le fait qu'il la recevait dans les locaux de celle- ci ou qu'il disposait d'une adresse de courrier électronique F______@C______.ch. Ces éléments ne permettent cependant pas encore de retenir qu'elle avait la volonté de conclure le contrat avec cette dernière, ni qu'elle devait comprendre que F______ agissait pour le compte de l'intimée, étant relevé que les éléments figurant à la procédure ne permettent pas de retenir que F______ n'aurait pas été contractuellement en droit d'exercer une activité à titre d'indépendant parallèlement à son emploi auprès de l'intimée. De même, la plaquette du projet immobilier mentionne en qualité de contact pour les conseils bancaires "C______ Sàrl, F______ Rue 3______ no. 4______ [code postal] Genève (…)", ce qui pourrait permettre de penser que l'appelante considérait que les prestations devaient être fournies par l'intimée, soit pour elle F______. Ce seul élément ne suffit cependant pas pour retenir, au vu de l'ensemble des éléments qui précèdent, que l'appelante aurait voulu se lier à l'intimée, étant rappelé qu'elle s'était adressée à F______ en raison d'une précédente collaboration, alors que ce dernier exerçait en qualité d'indépendant. Enfin, le fait que les acheteurs auraient compris que F______ œuvrait pour le compte de l'intimée n'est pas décisif pour établir la volonté des parties. En définitive, au vu de ce qui précède, l'appel est fondé et le jugement attaqué sera annulé. Compte tenu du défaut de légitimation active de l'intimée, sa demande en paiement formée à l'encontre de l'appelante sera rejetée.</w:t>
      </w:r>
    </w:p>
    <w:p>
      <w:r>
        <w:rPr>
          <w:b/>
        </w:rPr>
        <w:t>E. 4</w:t>
      </w:r>
    </w:p>
    <w:p>
      <w:r>
        <w:t>Reste à statuer sur les frais de la procédure.</w:t>
      </w:r>
    </w:p>
    <w:p>
      <w:r>
        <w:rPr>
          <w:b/>
        </w:rPr>
        <w:t>E. 4.1</w:t>
      </w:r>
    </w:p>
    <w:p>
      <w:r>
        <w:t>Le Tribunal avait réservé le sort des frais de la procédure de première instance, de sorte qu'il convient d'en fixer le montant et de les répartir, sans qu'il soit utile de renvoyer la cause au Tribunal pour qu'il statue sur ce seul point.</w:t>
      </w:r>
    </w:p>
    <w:p>
      <w:r>
        <w:t>- 12/14 -</w:t>
      </w:r>
    </w:p>
    <w:p>
      <w:r>
        <w:t>C/23469/2021 Les frais judiciaires de première instance seront arrêtés à 3'000 fr. (art. 23 RTFMC), mis à la charge de l'intimée qui succombe (art. 106 al. 1 CPC) et compensés à due concurrence avec les avances fournies par elle (art. 111 al. 1 CPC); le solde de 2'200 fr. lui sera restitué. L'intimée sera par ailleurs condamnée aux dépens de première instance de la partie appelante, arrêtés à 4'000 fr., débours et TVA compris (art. 85 et 87 RTFMC; art. 20, 25 et 26 LaCC).</w:t>
      </w:r>
    </w:p>
    <w:p>
      <w:r>
        <w:rPr>
          <w:b/>
        </w:rPr>
        <w:t>E. 4.2</w:t>
      </w:r>
    </w:p>
    <w:p>
      <w:r>
        <w:t>Pour les mêmes motifs, les frais judiciaires de la procédure d'appel, arrêtés à 1'000 fr. (art. 36 RTFMC), seront mis à la charge de l'intimée, qui succombe, et compensés avec l'avance de frais du même montant fournie par l'appelante, qui reste acquise à l'Etat de Genève. L'intimée sera condamnée à verser 1'000 fr. à l'appelante à titre de frais judiciaires. L'intimée sera, en outre, condamnée aux dépens d'appel de l'appelante, arrêtés à 1'500 fr., débours et TVA compris (art. 85, 87 et 90 RTFMC, art. 20, 25 et 26 LaCC). * * * * *</w:t>
      </w:r>
    </w:p>
    <w:p>
      <w:r>
        <w:t>- 13/14 -</w:t>
      </w:r>
    </w:p>
    <w:p>
      <w:r>
        <w:t>C/23469/2021 PAR CES MOTIFS, La Chambre civile : A la forme : Déclare recevable l'appel interjeté par A______ SA contre le jugement JTPI/12408/2023 rendu le 30 octobre 2023 par le Tribunal de première instance dans la cause C/23469/2021. Au fond : Annule ce jugement et, cela fait, statuant à nouveau : Rejette la demande formée par B______ SÀRL le 29 septembre 2023 dans la cause C/23469/2021. Arrête les frais judiciaires de première instance à 3'000 fr., les met à la charge de B______ SÀRL et les compense avec les avances fournies, qui restent acquises à l'Etat de Genève à due concurrence. Invite les Services financiers du pouvoir judiciaire à restituer 2'200 fr. à B______ SÀRL. Condamne B______ SÀRL à verser à A______ SA 4'000 fr. à titre de dépens de première instance. Déboute les parties de toutes autres conclusions. Sur les frais d'appel : Arrête les frais judiciaires d'appel à 1'000 fr., les met à la charge de B______ SÀRL et les compense avec l'avance de frais fournie par A______ SA, qui reste acquise à l'Etat de Genève. Condamne B______ SÀRL à verser à A______ SA 1'000 fr. à titre de frais judiciaires d'appel. Condamne B______ SÀRL à payer à A______ SA 1'500 fr. à titre de dépens d'appel. Siégeant : Monsieur Laurent RIEBEN, président; Madame Fabienne GEISINGER-MARIETHOZ, Madame Ursula ZEHETBAUER GHAVAMI, juges; Madame Camille LESTEVEN, greffière.</w:t>
      </w:r>
    </w:p>
    <w:p>
      <w:r>
        <w:t>- 14/14 -</w:t>
      </w:r>
    </w:p>
    <w:p>
      <w:r>
        <w:t>C/23469/2021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