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ACJC/840/2018 vom 23. Juni 2016</w:t>
      </w:r>
    </w:p>
    <w:p>
      <w:r>
        <w:t>GE Cour de justice, 2016-06-23, FR</w:t>
      </w:r>
    </w:p>
    <w:p>
      <w:r>
        <w:rPr>
          <w:b/>
        </w:rPr>
        <w:t xml:space="preserve">Quelle: </w:t>
      </w:r>
      <w:r>
        <w:t>https://mcp.opencaselaw.ch/entscheid/ge_gerichte_ACJC_840_2018</w:t>
      </w:r>
    </w:p>
    <w:p>
      <w:r>
        <w:t>FR: GE_GERICHTE ACJC/840/2018 du 23 juin 2016</w:t>
      </w:r>
    </w:p>
    <w:p>
      <w:r>
        <w:t>IT: GE_GERICHTE ACJC/840/2018 del 23 giugno 2016</w:t>
      </w:r>
    </w:p>
    <w:p>
      <w:pPr>
        <w:pStyle w:val="Heading2"/>
      </w:pPr>
      <w:r>
        <w:t>Erwägungen</w:t>
      </w:r>
    </w:p>
    <w:p>
      <w:r>
        <w:rPr>
          <w:b/>
        </w:rPr>
        <w:t>E. 1.1</w:t>
      </w:r>
    </w:p>
    <w:p>
      <w:r>
        <w:t>L'appel est dirigé contre une décision finale de première instance dans le cadre d'un litige portant sur une valeur litigieuse qui, capitalisée selon l'art. 92 CPC, est supérieure à 10'000 fr. (art. 308 al. 1 let. a et 2 CPC).</w:t>
      </w:r>
    </w:p>
    <w:p>
      <w:r>
        <w:rPr>
          <w:b/>
        </w:rPr>
        <w:t>E. 1.2</w:t>
      </w:r>
    </w:p>
    <w:p>
      <w:r>
        <w:t>L'appel a été formé dans les délais et selon la forme prescrits par la loi (art. 130, 131, 145 al. 1 let. c et 311 al. 1 CPC). Il est donc recevable.</w:t>
      </w:r>
    </w:p>
    <w:p>
      <w:r>
        <w:rPr>
          <w:b/>
        </w:rPr>
        <w:t>E. 1.3</w:t>
      </w:r>
    </w:p>
    <w:p>
      <w:r>
        <w:t>La Cour revoit la cause en fait et en droit avec un plein pouvoir d'examen (art. 310 CPC) et applique les maximes inquisitoire et d'office illimitée dans la mesure où le litige concerne un enfant mineur (art. 296 al. 1 et 3 CPC).</w:t>
      </w:r>
    </w:p>
    <w:p>
      <w:r>
        <w:t>La maxime inquisitoire ne dispense toutefois pas les parties de collaborer activement à la procédure et d'étayer leurs propres thèses. Il leur incombe ainsi de renseigner le juge sur les faits de la cause et de lui indiquer les moyens de preuve disponibles. Ce devoir s'impose d'autant plus lorsque c'est le débiteur qui entend obtenir une réduction de la contribution d'entretien qu'il doit verser (ATF 128 III</w:t>
      </w:r>
    </w:p>
    <w:p>
      <w:r>
        <w:t>- 10/23 -</w:t>
      </w:r>
    </w:p>
    <w:p>
      <w:r>
        <w:t>C/20703/2015 411 consid. 3.2.1, arrêt du Tribunal fédéral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w:t>
      </w:r>
    </w:p>
    <w:p>
      <w:r>
        <w:t>La procédure simplifiée est applicable (art. 295 CPC).</w:t>
      </w:r>
    </w:p>
    <w:p>
      <w:r>
        <w:t>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t>1.4.2 Au vu de cette règle, l'ensemble des pièces nouvelles produites dans la procédure d'appel, ainsi que les faits qui s'y rapportent sont recevables dans la mesure où ils concernent la situation financière des parties, ainsi que les questions portant sur la garde de l'enfant mineur.</w:t>
      </w:r>
    </w:p>
    <w:p>
      <w:r>
        <w:rPr>
          <w:b/>
        </w:rPr>
        <w:t>E. 2</w:t>
      </w:r>
    </w:p>
    <w:p>
      <w:r>
        <w:t>L'appelant reproche au Tribunal de n'avoir pas tenu compte des déménagements successifs de la mère de l'enfant, afin de modifier la fréquence du droit de visite fixé par les juges français. Il estime en outre qu'une garde partagée doit être prononcée afin de réduire les coûts de prise en charge de l'enfant.</w:t>
      </w:r>
    </w:p>
    <w:p>
      <w:r>
        <w:rPr>
          <w:b/>
        </w:rPr>
        <w:t>E. 2.1</w:t>
      </w:r>
    </w:p>
    <w:p>
      <w:r>
        <w:t>En application de l'art. 298d al. 1 CC, - dont la teneur est similaire à celle de l'art. 134 al. 1 CC -, l'autorité de protection - voire le juge selon l'art. 298d al. 3 CC -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Savoir si une modification essentielle est survenue doit s'apprécier en fonction de toutes les circonstances du cas d'espèce et relève du pouvoir d'appréciation de l'autorité de protection (arrêt du Tribunal fédéral 5A_30/2017 du 5 mai 2017 consid. 4.2).</w:t>
      </w:r>
    </w:p>
    <w:p>
      <w:r>
        <w:t>- 11/23 -</w:t>
      </w:r>
    </w:p>
    <w:p>
      <w:r>
        <w:t>C/20703/2015</w:t>
      </w:r>
    </w:p>
    <w:p>
      <w:r>
        <w:t>Selon l'art. 298d al. 2 CC, l'autorité peut aussi se limiter à statuer sur la garde de l'enfant, les relations personnelles ou la participation de chaque parent à sa prise en charge.</w:t>
      </w:r>
    </w:p>
    <w:p>
      <w:r>
        <w:t>La jurisprudence développée sous l'empire de l'ancien droit en lien avec la modification de l'attribution de l'autorité parentale et du droit de garde conserve par conséquent toute sa pertinence. Toute modification dans l'attribution de l'autorité parentale ou de la garde de fait suppose ainsi que la nouvelle réglementation soit requise dans l'intérêt de l'enfant à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w:t>
      </w:r>
    </w:p>
    <w:p>
      <w:r>
        <w:t>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w:t>
      </w:r>
    </w:p>
    <w:p>
      <w:r>
        <w:t>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5_425/2016 du 15 décembre 2016 consid. 3.4.2 et les références). Le juge doit néanmoins examiner, nonobstant et indépendamment de l'accord des parents quant à une garde alternée, si celle-ci est possible et compatible avec le bien de l'enfant (ATF 142 III 617 consid. 3.2.3, 612 consid. 4.2). En matière d'attribution des droits parentaux, le bien de l'enfant constitue la règle fondamentale (ATF 141 III 328 consid. 5.4), les intérêts des parents devant être relégués au second plan (ATF 142 III 617 consid. 3.2.3; 131 III 209 consid. 5).</w:t>
      </w:r>
    </w:p>
    <w:p>
      <w:r>
        <w:rPr>
          <w:b/>
        </w:rPr>
        <w:t>E. 2.2</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w:t>
      </w:r>
    </w:p>
    <w:p>
      <w:r>
        <w:t>- 12/23 -</w:t>
      </w:r>
    </w:p>
    <w:p>
      <w:r>
        <w:t>C/20703/2015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w:t>
      </w:r>
    </w:p>
    <w:p>
      <w:r>
        <w:t>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ATF 142 III 617 consid. 3.2.3).</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2.3</w:t>
      </w:r>
    </w:p>
    <w:p>
      <w:r>
        <w:t>A teneur de l'art. 301a al. 2 CC, un parent exerçant conjointement l'autorité parentale ne peut modifier le lieu de résidence de l'enfant qu'avec l'accord de l'autre parent ou sur décision du juge ou de l'autorité de protection de l'enfant dans les cas suivants: le nouveau lieu de résidence se trouve à l'étranger (let. a); le déménagement a des conséquences importantes pour l'exercice de l'autorité parentale par l'autre parent et pour les relations personnelles (let. b).</w:t>
      </w:r>
    </w:p>
    <w:p>
      <w:r>
        <w:rPr>
          <w:b/>
        </w:rPr>
        <w:t>E. 2.4</w:t>
      </w:r>
    </w:p>
    <w:p>
      <w:r>
        <w:t>En l'espèce, le Tribunal a retenu que le déménagement de la mère et de l'enfant constitue une circonstance nouvelle qui justifie d'entrer en matière sur la demande de modification de la garde et des relations personnelles formulée par l'appelant.</w:t>
      </w:r>
    </w:p>
    <w:p>
      <w:r>
        <w:t>- 13/23 -</w:t>
      </w:r>
    </w:p>
    <w:p>
      <w:r>
        <w:t>C/20703/2015</w:t>
      </w:r>
    </w:p>
    <w:p>
      <w:r>
        <w:t>Celui-ci se plaint de la décision unilatérale de la mère de l'enfant d'avoir déménagé à I______ (VD). Il semble ainsi demander des mesures "coercitives" afin de forcer la mère et l'enfant à réintégrer leur précédent domicile. Outre qu'il n'avait pas soumis cette question au Tribunal, il ne démontre pas que les conditions de l'art. 301a al. 2 CC seraient réunies. En particulier, il n'évoque pas que le déménagement provoquerait des difficultés dans le maintien des relations personnelles. Le SPMi n'a pas relevé qu'il était contraire au bien de l'enfant de déménager. De toute manière, le déménagement étant intervenu il y a plus d'une année, sans que l'appelant ne réagisse, et alors que l'enfant fréquente désormais la crèche de son domicile depuis mai 2017, il ne paraît pas conforme à son intérêt d'ordonner à la mère de revenir s'installer dans son lieu de résidence originel, ce d'autant moins qu'elle est désormais séparée du compagnon avec qui elle vivait à H______ [GE].</w:t>
      </w:r>
    </w:p>
    <w:p>
      <w:r>
        <w:rPr>
          <w:b/>
        </w:rPr>
        <w:t>E. 2.5</w:t>
      </w:r>
    </w:p>
    <w:p>
      <w:r>
        <w:t>L'appelant demande l'instauration d'une garde alternée.</w:t>
      </w:r>
    </w:p>
    <w:p>
      <w:r>
        <w:t>Le conflit profond et marqué qui dure depuis plus de trois ans entre les parents, sans signe d'amélioration, laisse présager des difficultés insurmontables en l'état dans la mise en place d'une garde alternée. Les deux parents disposent certes d'une bonne capacité éducative. C'est cependant la mère qui s'est principalement occupée de ce jeune enfant depuis sa naissance et qui a aménagé son temps de travail pour prendre soin de lui. Contrairement à ce que soutient l'appelant, il ne ressort pas du dossier que deux déménagements en trois ans mettraient en péril le bien de l'enfant. Les parents paraissent aujourd'hui montrer un souhait ou une capacité identique à favoriser les contacts avec l'autre. Il ne peut en tout cas pas être retenu que l'un d'eux chercherait à limiter ces contacts. En outre, l'appelant n'expose pas comment il aménagerait la garde alternée compte tenu de la prise en charge de l'enfant à la crèche de son domicile.</w:t>
      </w:r>
    </w:p>
    <w:p>
      <w:r>
        <w:t>Dans ce cadre, des considérations économiques étrangères au bien de l'enfant ne sauraient entrer en considération.</w:t>
      </w:r>
    </w:p>
    <w:p>
      <w:r>
        <w:t>Ainsi, le refus de prononcer une garde alternée et le maintien de la garde auprès de la mère seront confirmés.</w:t>
      </w:r>
    </w:p>
    <w:p>
      <w:r>
        <w:t>Pour le surplus, l'appelant n'invoque aucun élément justifiant la modification de son droit de visite, qui sera ainsi confirmé.</w:t>
      </w:r>
    </w:p>
    <w:p>
      <w:r>
        <w:rPr>
          <w:b/>
        </w:rPr>
        <w:t>E. 3</w:t>
      </w:r>
    </w:p>
    <w:p>
      <w:r>
        <w:t>L'appelante conteste le montant de la contribution d'entretien qu'il doit verser pour son fils.</w:t>
      </w:r>
    </w:p>
    <w:p>
      <w:r>
        <w:rPr>
          <w:b/>
        </w:rPr>
        <w:t>E. 3.1.1</w:t>
      </w:r>
    </w:p>
    <w:p>
      <w:r>
        <w:t>L'enfant peut agir contre son père et sa mère afin de leur réclamer l'entretien pour l'avenir et pour l'année qui précède l'ouverture de l'action (art. 279 CC).</w:t>
      </w:r>
    </w:p>
    <w:p>
      <w:r>
        <w:t>- 14/23 -</w:t>
      </w:r>
    </w:p>
    <w:p>
      <w:r>
        <w:t>C/20703/2015</w:t>
      </w:r>
    </w:p>
    <w:p>
      <w:r>
        <w:t>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Ces dispositions, entrées en vigueur le 1er janvier 2017, sont applicables à la présente cause (art. 13cbis al. 1 Tit. fin. CC; Message du Conseil fédéral du 29 novembre 2013 concernant la révision du code civil suisse (Entretien de l'enfant), FF 2014 p. 511 ss, p. 570). Pour la période antérieure au 1er janvier 2017, l'ancien droit demeure applicable, de sorte qu'il faut fixer l'entretien en deux phases : l'une avant l'entrée en vigueur du nouveau droit, l'autre après cette entrée en vigueur (SENN, Verfahrensrechtliche Streiflichter zu den Revisionen der elterlichen Sorge und des Kindesunterhaltsrechts, FamPra.ch 2017 p. 971, p. 990).</w:t>
      </w:r>
    </w:p>
    <w:p>
      <w:r>
        <w:rPr>
          <w:b/>
        </w:rPr>
        <w:t>E. 3.1.2</w:t>
      </w:r>
    </w:p>
    <w:p>
      <w:r>
        <w:t>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w:t>
      </w:r>
    </w:p>
    <w:p>
      <w:r>
        <w:t>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w:t>
      </w:r>
    </w:p>
    <w:p>
      <w:r>
        <w:rPr>
          <w:b/>
        </w:rPr>
        <w:t>E. 3.1.3</w:t>
      </w:r>
    </w:p>
    <w:p>
      <w:r>
        <w:t>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w:t>
      </w:r>
    </w:p>
    <w:p>
      <w:r>
        <w:t>- 15/23 -</w:t>
      </w:r>
    </w:p>
    <w:p>
      <w:r>
        <w:t>C/20703/2015</w:t>
      </w:r>
    </w:p>
    <w:p>
      <w:r>
        <w:t>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w:t>
      </w:r>
    </w:p>
    <w:p>
      <w:r>
        <w:t>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les charges fiscales courantes (ATF 140 III 337 consid. 4.2.3; arrêt du Tribunal fédéral 5A_329/2016 du 6 décembre 2016 consid. 4.1 et 4.2.1), le remboursement des dettes contractées pendant la vie commune pour le bénéfice de la famille, ainsi que les primes d'assurance RC-ménage et d'assurance-maladie complémentaire (BASTONS BULLETTI, op. cit., p. 90 et 102).</w:t>
      </w:r>
    </w:p>
    <w:p>
      <w:r>
        <w:t>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w:t>
      </w:r>
    </w:p>
    <w:p>
      <w:r>
        <w:t>La participation des enfants au loyer peut être fixée à 20% en présence d'un enfant et à 30% pour deux enfants (BASTONS BULLETTI, op. cit., p. 85 et 102).</w:t>
      </w:r>
    </w:p>
    <w:p>
      <w:r>
        <w:rPr>
          <w:b/>
        </w:rPr>
        <w:t>E. 3.1.4</w:t>
      </w:r>
    </w:p>
    <w:p>
      <w:r>
        <w:t>L'art. 285 al. 2 CC précise que la prise en charge de l'enfant est l'un des éléments qu'il y a lieu de considérer lors de la détermination de la contribution d'entretien. Chaque enfant a droit à une prise en charge adéquate (Message, p. 556; SPYCHER, op. cit., p. 13).</w:t>
      </w:r>
    </w:p>
    <w:p>
      <w:r>
        <w:t>En théorie, il ne s'agit pas d'indemniser un parent pour l'entretien qu'il fournit en nature, mais de mettre à sa disposition un montant qui permette cette prise en charge personnelle. La contribution de prise en charge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- 16/23 -</w:t>
      </w:r>
    </w:p>
    <w:p>
      <w:r>
        <w:t>C/20703/2015</w:t>
      </w:r>
    </w:p>
    <w:p>
      <w:r>
        <w:t>Si une prise en charge externe est mise en place, les coûts qui en découlent doivent être considérés comme des coûts directs et calculés comme tels (Message, p. 556; STOUDMANN, op. cit., p. 429).</w:t>
      </w:r>
    </w:p>
    <w:p>
      <w:r>
        <w:t>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p. 556; STOUDMANN, op. cit., p. 429 s.).</w:t>
      </w:r>
    </w:p>
    <w:p>
      <w:r>
        <w:rPr>
          <w:b/>
        </w:rPr>
        <w:t>E. 3.2.1</w:t>
      </w:r>
    </w:p>
    <w:p>
      <w:r>
        <w:t>En l'espèce, l'appelant remet en cause l'appréciation du premier juge sur sa propre situation financière.</w:t>
      </w:r>
    </w:p>
    <w:p>
      <w:r>
        <w:t>En premier lieu, il estime qu'en raison de la saisie de salaire dont il est l'objet, il ne peut pas assurer l'entretien de son fils au-delà de 650 fr. par mois. Les dettes invoquées par l'appelant n'ont toutefois pas été contractées pour l'entretien de son fils et sont antérieures à sa naissance. Or, l'entretien de son enfant prime le service de ses dettes, ce que démontre par ailleurs la décision de l'Office des poursuites d'inclure dans son minimum vital un montant à titre d'entretien du mineur. Si ce montant est insuffisant pour couvrir l'entretien réel de l'enfant, il appartient cas échéant à l'appelant d'obtenir une modification de la saisie de salaire dont il est l'objet. Dans le même ordre d'idée, le montant de 4'500 fr. perçu après la saisie de salaire n'est pas déterminant pour établir sa situation financière : seul le montant net, après déduction des assurances sociales, est pertinent.</w:t>
      </w:r>
    </w:p>
    <w:p>
      <w:r>
        <w:t>Les retards dans les paiements des factures et autres dettes diverses ne seront pas davantage prises en compte, ce pour les mêmes raisons.</w:t>
      </w:r>
    </w:p>
    <w:p>
      <w:r>
        <w:t>L'absence de fortune de l'appelant, contrairement à ce qu'il soutient, ne joue, dans le cas d'espèce, aucun rôle dans le calcul de la contribution d'entretien due à son enfant.</w:t>
      </w:r>
    </w:p>
    <w:p>
      <w:r>
        <w:t>Le Tribunal semble avoir retenu un revenu hypothétique, sans pourtant examiner les conditions posées par la jurisprudence. Au vu de ce qui suit, l'imputation d'un revenu hypothétique ne s'avère pas nécessaire, de sorte que les griefs de l'appelant à ce sujet n'ont pas à être examinés. Il sied néanmoins de rappeler, au vu de ce qui a été développé ci-dessus sur la question de la garde alternée et compte tenu des ressources financières de la famille, que l'appelant ne peut pas unilatéralement réduire son taux de travail, sous prétexte de voir davantage son fils.</w:t>
      </w:r>
    </w:p>
    <w:p>
      <w:r>
        <w:t>La question de la sous-location d'une chambre dans le logement de l'appelant, longuement discutée par les parties, peut être réglée comme suit. Il ressort suffisamment du dossier que l'appelant est mensuellement crédité de 1'400 fr. sur</w:t>
      </w:r>
    </w:p>
    <w:p>
      <w:r>
        <w:t>- 17/23 -</w:t>
      </w:r>
    </w:p>
    <w:p>
      <w:r>
        <w:t>C/20703/2015 son compte bancaire. Il a allégué qu'il s'agissait de la participation de sa compagne aux charges communes. Précédemment, il percevait le même montant à titre de sous-location. Il sera donc retenu que l'appelant a perçu et perçoit 1'400 fr. par mois pour la mise à disposition d'une partie de son logement à sa compagne ou à un sous-locataire. Dans ce cadre, en l'absence d'une garde alternée, il n'y a pas lieu de retenir une participation au loyer à charge de l'enfant.</w:t>
      </w:r>
    </w:p>
    <w:p>
      <w:r>
        <w:t>Enfin, l'appelant entend retenir dans ses charges des montants afférents au téléphone, Internet, Billag, eau, électricité, caution de loyer, etc., soit autant de dépenses qui sont déjà décomptées dans le montant de base OP qui lui est imputé. En outre, il n'y a pas lieu de retenir une assurance pour sa motocyclette, dans la mesure où il déclare lui-même souhaiter la vendre.</w:t>
      </w:r>
    </w:p>
    <w:p>
      <w:r>
        <w:t>Par conséquent, les griefs de l'appelant seront rejetés. Cela étant, afin de corriger l'appréciation de sa situation financière par le Tribunal, celle-ci sera fixée comme suit :</w:t>
      </w:r>
    </w:p>
    <w:p>
      <w:r>
        <w:t>Les revenus de l'appelant ont été de 6'400 fr., voire 6'500 fr. de mars 2015 à juillet 2017, à quoi s'ajoutait 1'400 fr. perçu à titre de sous-location. Ainsi, les revenus de l'appelant ont été d'au moins 7'800 fr. nets par mois à cette époque.</w:t>
      </w:r>
    </w:p>
    <w:p>
      <w:r>
        <w:t>Suite à son licenciement, il perçoit désormais quelque 5'300 fr. nets à titre d'indemnités de chômage, auxquelles s'ajoutent 1'400 fr. perçu au titre de sous- location, soit un total de 6'700 fr. mensuels.</w:t>
      </w:r>
    </w:p>
    <w:p>
      <w:r>
        <w:t>Ses charges incompressibles s'élèvent à 5'000 fr. par mois.</w:t>
      </w:r>
    </w:p>
    <w:p>
      <w:r>
        <w:t>L'appelant disposait donc d'un montant de 2'800 fr. par mois de mars 2015 à juillet 2017, puis il dispose de 1'700 fr. par mois depuis août 2017.</w:t>
      </w:r>
    </w:p>
    <w:p>
      <w:r>
        <w:rPr>
          <w:b/>
        </w:rPr>
        <w:t>E. 3.2.2</w:t>
      </w:r>
    </w:p>
    <w:p>
      <w:r>
        <w:t>L'appelant conteste l'appréciation de la situation financière de la mère de l'enfant.</w:t>
      </w:r>
    </w:p>
    <w:p>
      <w:r>
        <w:t>Il critique l'appréciation de la fortune de celle-ci, en soutenant, pour la première fois en appel et sans produire aucune pièce à ce titre, qu'elle serait propriétaire d'un appartement à V______ [France]. Outre qu'il n'apporte aucune preuve de ce fait, il n'expose pas davantage quel revenu elle tirerait de ce bien. Il n'en va pas différemment lorsqu'il soutient qu'elle posséderait trois voitures et quatre chevaux: la substance de la fortune n'a pas à être prise en compte dans le cas d'espèce. Enfin, ses participations dans la société M______, dans la mesure où elles lui rapportent des revenus, seront prises en compte ci-après.</w:t>
      </w:r>
    </w:p>
    <w:p>
      <w:r>
        <w:t>L'appelant critique l'intégration d'un tiers du loyer de la mère de l'enfant dans les charges de ce dernier. Cette critique est fondée, car la pratique retient plutôt une participation à concurrence de 20% pour un enfant seul. Les charges de la mère de</w:t>
      </w:r>
    </w:p>
    <w:p>
      <w:r>
        <w:t>- 18/23 -</w:t>
      </w:r>
    </w:p>
    <w:p>
      <w:r>
        <w:t>C/20703/2015 l'enfant seront donc revues en ce sens. Cependant, il ne peut être retenu sans autre que la sœur de la mère de l'enfant partage le logement de celle-ci : la simple signature du bail par ces deux personnes ne signifie pas encore qu'elles partagent le logement, aucun autre indice ne figurant au dossier en ce sens et l'appelant ne proposant pas d'offre de preuve.</w:t>
      </w:r>
    </w:p>
    <w:p>
      <w:r>
        <w:t>Par conséquent, la situation financière de la mère de l'enfant se présente de la façon suivante :</w:t>
      </w:r>
    </w:p>
    <w:p>
      <w:r>
        <w:t>De mars 2015 à mai 2015, elle percevait un salaire de 7'260 fr. par mois, ainsi que des revenus immobiliers de 150 fr. par mois, soit un total de 7'400 fr. arrondis. Pendant cette période, Ses charges étaient de 3'600 fr., lui laissant donc un montant disponible de l'ordre de 3'800 fr.</w:t>
      </w:r>
    </w:p>
    <w:p>
      <w:r>
        <w:t>De juin 2015 à avril 2016 - date arrêtée en l'absence d'allégation claire de sa part sur la date de la fin de son contrat de travail -, elle a perçu un salaire mensuel de 5'300 fr., soit quelque 5'450 fr. y compris les revenus immobiliers. Il n'est pas démontré qu'elle ait effectivement perçu le bénéfice réalisé par sa société lors de l'année 2015, bénéfice qui a été, quoi qu'il en soit, absorbé par des pertes supérieures l'année suivante. Pendant cette période, ses charges étaient de 3'600 fr. par mois, lui laissant un montant disponible de 1'850 fr. par mois.</w:t>
      </w:r>
    </w:p>
    <w:p>
      <w:r>
        <w:t>De mai 2016 à avril 2017 - dates arrêtées par souci de simplification -, elle a perçu un salaire mensuel de 4'300 fr. nets, puis des indemnités de chômage de même montant, soit 4'450 fr. y compris les revenus immobiliers, pour des charges de 3'600 fr. (mai à août 2016), puis 2'570 fr. (août 2016 à janvier 2017) et 3'500 fr. (février à avril 2017), soit des montants mensuels disponibles respectifs de 850 fr., puis 1'880 fr. et 950 fr.</w:t>
      </w:r>
    </w:p>
    <w:p>
      <w:r>
        <w:t>Enfin, dès mai 2017, elle perçoit un salaire mensuel de 3'600 fr. par mois, soit 3'750 fr. y compris les revenus immobiliers, pour des charges de 3'500 fr., lui laissant un montant disponible de 250 fr.</w:t>
      </w:r>
    </w:p>
    <w:p>
      <w:r>
        <w:t>Compte tenu de l'âge de l'enfant, il ne peut être exigé d'elle qu'elle prenne un emploi à un taux plus élevé que 60% jusqu'à ses seize ans (ATF 137 III 102 consid. 4.2.2).</w:t>
      </w:r>
    </w:p>
    <w:p>
      <w:r>
        <w:rPr>
          <w:b/>
        </w:rPr>
        <w:t>E. 3.2.3</w:t>
      </w:r>
    </w:p>
    <w:p>
      <w:r>
        <w:t>S'agissant des charges de l'enfant, il ressort suffisamment du dossier que, durant la période allant de la naissance à août 2016, compte tenu du taux de travail de la mère de l'enfant, il était nécessaire de recourir à une solution de garde, les montants de 1'500 fr. et 900 fr. prouvés par des pièces et retenus pour une nounou seront donc confirmés, nonobstant les critiques de l'appelant qui ne sont, d'ailleurs, pas étayées. Peu importe à cet égard que la mère ait permis ou non les visites souhaitées par le père à cette époque, puisque la prise en charge des frais</w:t>
      </w:r>
    </w:p>
    <w:p>
      <w:r>
        <w:t>- 19/23 -</w:t>
      </w:r>
    </w:p>
    <w:p>
      <w:r>
        <w:t>C/20703/2015 de l'enfant n'a pas pour préalable le respect du droit de visite du parent contributeur. Pour cette période, les charges de l'enfant seront arrêtées à 1'900 fr., puis 1'300 fr. dès mai 2016, par mois, après déduction des allocations familiales. De septembre 2016 à janvier 2017, les charges de l'enfant étaient de 460 fr. mensuellement, après déduction des allocations familiales. De février à avril 2017, elles étaient de 640 fr., après déduction des allocations familiales. A partir de mai 2017, elles seront fixées en équité à 1'700 fr. par mois, compte tenu des frais de crèche moyens, après déduction des allocations familiales. Conformément aux considérants du Tribunal, et qui ne sont pas remises en cause en appel, les charges de l'enfant seront arrêtées, allocations familiales déduites, à 1'200 fr. du 1er septembre 2019 jusqu'à l'âge de 10 ans, dès lors qu'il cessera de fréquenter la crèche, puis 1'400 fr. jusqu'à 12 ans et 1'000 fr. jusqu'à la majorité, voire au-delà en cas de poursuite d'une formation professionnelle ou d'études suivies. Une contribution de prise en charge octroyée à la mère n'entre pas en ligne de compte, dès lors qu'elle parvient à couvrir ses propres charges incompressibles par le fruit de son travail. Elle n'est au demeurant pas requise par celle-ci.</w:t>
      </w:r>
    </w:p>
    <w:p>
      <w:r>
        <w:rPr>
          <w:b/>
        </w:rPr>
        <w:t>E. 3.2.4</w:t>
      </w:r>
    </w:p>
    <w:p>
      <w:r>
        <w:t>Reste à déterminer comment les charges de l'enfant doivent être réparties entre les parents, étant précisé que la mère ayant la garde de l'enfant elle est présumée lui fournir une part de cet entretien sous la forme de soins. Le droit de visite du père n'est en l'espèce pas suffisant pour retenir que les soins qu'il prodigue à l'enfant sont équivalents.</w:t>
      </w:r>
    </w:p>
    <w:p>
      <w:r>
        <w:t>Pour la période de mars à mai 2015, au vu des disponibles respectifs des parents et des charges de l'enfant, soit 1'900 fr. par mois, ce montant sera réparti par moitié entre les deux parents, de sorte que la contribution devant être versée par l'appelant était de 850 fr. par mois, soit un capital de 2'550 fr.</w:t>
      </w:r>
    </w:p>
    <w:p>
      <w:r>
        <w:t>Pour la période de juin 2015 à avril 2016, les charges de l'enfant s'élevaient à 1'900 fr. par mois. La mère disposant d'un montant disponible inférieur à ce qui prévalait auparavant, les charges de l'enfant seront mises à concurrence de 80% à charge du père, soit 1'500 fr. arrondis par mois, soit un capital de 16'500 fr.</w:t>
      </w:r>
    </w:p>
    <w:p>
      <w:r>
        <w:t>Pour la période de mai 2016 à août 2016, les charges de l'enfant s'élevaient à 1'300 fr. par mois, qui seront mis intégralement à charge du père en raison de la diminution du disponible de la mère, soit un capital de 5'200 fr.</w:t>
      </w:r>
    </w:p>
    <w:p>
      <w:r>
        <w:t>- 20/23 -</w:t>
      </w:r>
    </w:p>
    <w:p>
      <w:r>
        <w:t>C/20703/2015</w:t>
      </w:r>
    </w:p>
    <w:p>
      <w:r>
        <w:t>Pour la période de septembre 2016 à janvier 2017, les charges de l'enfant en 460 fr. seront mis ici encore intégralement à la charge du père, en raison du disponible respectif des parents à cette époque, soit un capital de 2'300 fr.</w:t>
      </w:r>
    </w:p>
    <w:p>
      <w:r>
        <w:t>Pour la période de février à avril 2017, les charges de l'enfant en 640 fr. seront mis ici encore intégralement à la charge du père, pour les mêmes raisons, soit un capital de 1'920 fr.</w:t>
      </w:r>
    </w:p>
    <w:p>
      <w:r>
        <w:t>Enfin à partir de mai 2017 et pour l'avenir, l'appelant sera condamné à prendre en charge l'entier des charges de l'enfant compte de son disponible plus important que celui de la mère.</w:t>
      </w:r>
    </w:p>
    <w:p>
      <w:r>
        <w:t>Ainsi, il devra verser 1'700 fr. par mois jusqu'au 31 août 2019, soit un capital de 13'600 fr. de mai 2017 à décembre 2017, puis 1'200 fr. jusqu'à ce que l'enfant atteigne l'âge de dix ans, puis 1'400 fr. par mois jusqu'à l'âge de 12 ans, puis 1'000 fr. jusqu'à la majorité, voire au-delà en cas de poursuite d'études sérieuses et suivies.</w:t>
      </w:r>
    </w:p>
    <w:p>
      <w:r>
        <w:rPr>
          <w:b/>
        </w:rPr>
        <w:t>E. 3.3</w:t>
      </w:r>
    </w:p>
    <w:p>
      <w:r>
        <w:t>Le dies a quo de la contribution d'entretien fixé par le premier juge au 2 mars 2015 sera confirmé, en ce qu'il n'est pas contesté en appel et correspond vraisemblablement à la date où les parents se sont séparés.</w:t>
      </w:r>
    </w:p>
    <w:p>
      <w:r>
        <w:t>Les contributions seront indexées à l'instar ce qui est prévu par la décision entreprise.</w:t>
      </w:r>
    </w:p>
    <w:p>
      <w:r>
        <w:rPr>
          <w:b/>
        </w:rPr>
        <w:t>E. 3.4</w:t>
      </w:r>
    </w:p>
    <w:p>
      <w:r>
        <w:t>Il s'agit enfin de prendre en compte les versements déjà opérés par l'appelant jusqu'au 31 décembre 2017, qui se sont élevés à 14'899 fr.</w:t>
      </w:r>
    </w:p>
    <w:p>
      <w:r>
        <w:t>Le total dû en capital jusqu'au 31 décembre 2017 étant de 42'070 fr., l'appelant reste devoir 27'171 fr. (42'070 fr. - 14'899 fr.) après imputation des montants déjà versés.</w:t>
      </w:r>
    </w:p>
    <w:p>
      <w:r>
        <w:t>La date moyenne du 31 octobre 2016 sera fixée pour le cours des intérêts.</w:t>
      </w:r>
    </w:p>
    <w:p>
      <w:r>
        <w:rPr>
          <w:b/>
        </w:rPr>
        <w:t>E. 3.5</w:t>
      </w:r>
    </w:p>
    <w:p>
      <w:r>
        <w:t>S'agissant des contributions d'entretien dues pour l'enfant B______, le jugement entrepris sera donc annulé et réformé dans le sens qui précède.</w:t>
      </w:r>
    </w:p>
    <w:p>
      <w:r>
        <w:rPr>
          <w:b/>
        </w:rPr>
        <w:t>E. 4.1</w:t>
      </w:r>
    </w:p>
    <w:p>
      <w:r>
        <w:t>La décision sur les frais du Tribunal n'est pas remise en cause et conforme aux principes applicables. Elle sera confirmée.</w:t>
      </w:r>
    </w:p>
    <w:p>
      <w:r>
        <w:rPr>
          <w:b/>
        </w:rPr>
        <w:t>E. 4.2</w:t>
      </w:r>
    </w:p>
    <w:p>
      <w:r>
        <w:t>Les frais judiciaires d'appel seront fixés à 1'250 fr. (art. 32 et 35 RTFMC) et mis à la charge des parties pour moitié chacune, compte tenu de l'issue et de la nature du litige (art. 95 et 107 al. 1 let. c CPC).</w:t>
      </w:r>
    </w:p>
    <w:p>
      <w:r>
        <w:t>- 21/23 -</w:t>
      </w:r>
    </w:p>
    <w:p>
      <w:r>
        <w:t>C/20703/2015</w:t>
      </w:r>
    </w:p>
    <w:p>
      <w:r>
        <w:t>Les frais à la charge de A______, qui plaide au bénéfice de l'assistance judiciaire, seront provisoirement supportés par l'Etat (art. 122 al.1 let. b, 123 al. 1 CPC et 19 RAJ)</w:t>
      </w:r>
    </w:p>
    <w:p>
      <w:r>
        <w:t>Pour le surplus, chaque partie supportera ses propres dépens, vu la nature et l'issue du litige (art. 95 al. 3 et 107 al. 1 let. c CPC). * * * * * *</w:t>
      </w:r>
    </w:p>
    <w:p>
      <w:r>
        <w:t>- 22/23 -</w:t>
      </w:r>
    </w:p>
    <w:p>
      <w:r>
        <w:t>C/20703/2015 PAR CES MOTIFS, La Chambre civile : A la forme : Déclare recevable l'appel interjeté par A______ contre le jugement JTPI/17008/2017 rendu le 21 décembre 2017 par le Tribunal de première instance dans la cause C/20703/2015-18. Au fond : Annule les chiffres 7, 8 et 9 du jugement entrepris, cela fait statuant à nouveau : Condamne A______ à verser en mains de C______, à titre de solde de contribution à l'entretien de B______ pour la période du 2 mars 2015 au 31 décembre 2017, 27'171 fr., plus intérêts à 5% l'an dès le 31 octobre 2016. Condamne A______ à verser en mains de C______, par mois et d'avance, allocations familiales déduites, à titre de contribution à l'entretien de B______, 1'700 fr. du 1er janvier 2018 au 31 août 2019, puis 1'200 fr. jusqu'à ce qu'il atteigne l'âge de 10 ans, puis 1'400 fr. jusqu'à ce qu'il atteigne l'âge de 12 ans, puis 1'000 fr. jusqu'à la majorité, voire au-delà en cas de poursuite d'une formation professionnelle ou d'études sérieuses et suivies. Dit que les contributions précitées seront indexées à l'indice genevois des prix à la consommation le 1er janvier de chaque année, pour la première fois le 1er janvier 2019, l'indice de base étant celui du jour du prononcé du présent jugement. Dit cependant qu'au cas où les revenus de A______ ne devaient pas suivre intégralement l'évolution de l'indice retenu, l’adaptation précitée n'interviendra que proportionnellement à l'augmentation effective de ses revenus. Confirme pour le surplus le jugement entrepris. Déboute les parties de toutes autres conclusions. Sur les frais : Fixe les frais d'appel à 1'250 fr. et les répartit entre les parties à raison d'une moitié chacune. Condamne B______ à verser 625 fr. aux Services financiers du Pouvoir judiciaire.</w:t>
      </w:r>
    </w:p>
    <w:p>
      <w:r>
        <w:t>- 23/23 -</w:t>
      </w:r>
    </w:p>
    <w:p>
      <w:r>
        <w:t>C/20703/2015 Dit que les frais en 625 fr. à la charge de A______ seront provisoirement supportés par l'Etat de Genève. Dit qu'il n'est pas alloué de dépens.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