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ACJC/831/2020 vom 2. Juli 2020</w:t>
      </w:r>
    </w:p>
    <w:p>
      <w:r>
        <w:t>GE Cour de justice, 2020-07-02, FR</w:t>
      </w:r>
    </w:p>
    <w:p>
      <w:r>
        <w:rPr>
          <w:b/>
        </w:rPr>
        <w:t xml:space="preserve">Quelle: </w:t>
      </w:r>
      <w:r>
        <w:t>https://mcp.opencaselaw.ch/entscheid/ge_gerichte_ACJC_831_2020</w:t>
      </w:r>
    </w:p>
    <w:p>
      <w:r>
        <w:t>FR: GE_GERICHTE ACJC/831/2020 du 2 juillet 2020</w:t>
      </w:r>
    </w:p>
    <w:p>
      <w:r>
        <w:t>IT: GE_GERICHTE ACJC/831/2020 del 2 luglio 2020</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qu'en l'espèce, le litige porte sur le montant de la contribution d'entretien, il est de nature pécuniaire (ATF 133 III 393 consid. 2; arrêts du Tribunal fédéral 5A_42/2013 du 27 juin 2013 consid. 1.1; 5A_906/2012 du 18 avril 2013 consid. 1; 5A_236/2011 du 18 octobre 2011 consid. 1; 5A_511/2010 du</w:t>
      </w:r>
    </w:p>
    <w:p>
      <w:r>
        <w:rPr>
          <w:b/>
        </w:rPr>
        <w:t>E. 1.2</w:t>
      </w:r>
    </w:p>
    <w:p>
      <w:r>
        <w:t>La Cour revoit la cause en fait et en droit avec un plein pouvoir d'examen (art. 310 CPC). La présente cause est soumise aux maximes d'office et inquisitoire illimitée en tant qu'elle concerne un enfant mineur (art. 296 al. 1 et al. 3 CPC), de sorte que la Cour n'est liée ni par les conclusions des parties sur ce point (art. 296 al. 3 CPC) ni par l'interdiction de la reformatio in pejus (ATF 129 III 417 consid. 2.1.1; arrêt du Tribunal fédéral 5A_562/2009 du 18 janvier 2010 consid. 3.1). Par ailleurs,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2. L'appelant remet en cause le montant de la contribution à l'entretien de C______ arrêté par le premier juge.</w:t>
      </w:r>
    </w:p>
    <w:p>
      <w:r>
        <w:t>Il soutient que les parts respectives du loyer de l'enfant et de sa mère ont été mal évaluées et auraient dû être arrêtées à 1/2 de 3'530 fr. pour la mère, soit à 1'765 fr. (au lieu de 40% de 3'530 fr.), et à 20% de 1'765 fr. pour l'enfant, soit à 353 fr. (au lieu de 20% de 3'530 fr.), de sorte que les charges de l'enfant s'élèveraient à un total de 685 fr. 75 (au lieu de 1'038 fr.). Il offre néanmoins de verser, dès le 1er avril 2020, une contribution d'entretien de 850 fr. jusqu'aux 15 ans de C______, puis de 950 fr. jusqu'à sa majorité, voire jusqu'à la fin d'études normalement menées. 2.1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Même lorsqu'on ne peut plus sérieusement compter sur la reprise de la vie commune, l'art. 163 CC demeure la cause de l'obligation d'entretien réciproque des époux. Pour fixer la contribution d'entretien due selon l'art. 176 al. 1 ch. 1 CC, le juge doit partir de la convention, expresse ou tacite, que les époux ont conclue au sujet de la répartition des tâches et des ressources entre eux durant la vie commune. La loi n'impose pas de méthode de calcul de la contribution d'entretien. 2.2 Selon l'art. 285 al. 1 CC, les aliments doivent correspondre aux besoins de l'enfant ainsi qu'à la situation et aux ressources des père et mère.</w:t>
      </w:r>
    </w:p>
    <w:p>
      <w:r>
        <w:t>- 8/12 -</w:t>
      </w:r>
    </w:p>
    <w:p>
      <w:r>
        <w:t>C/19315/2019 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prestations pour l'entretien des enfants intègrent une participation à leurs frais de logement, de sorte que le loyer imputé à l'époux attributaire de leur garde doit être diminué dans cette mesure (arrêts du Tribunal fédéral 5A_464/2012 du 30 novembre 2012 consid. 4.6.3; 5A_533/2010 du 24 novembre 2010 consid. 2.1). La part au logement peut être fixée à 20% du loyer pour un enfant (BASTONS BULLETTI, L'entretien après divorce : Méthodes de calcul, montant, durée et limites, in SJ 2007 II 77, p. 102). Le minimum vital du débirentier doit en principe être préservé (ATF 137 III 59 consid. 4.2). En tout état, le juge dispose d'un large pouvoir d'appréciation (art. 4 CC). 2.3 En l'espèce, ni l'application de la méthode du minimum vital, ni la prise en charge par le père de l'intégralité des charges de C______, ni la fixation du dies a quo au 1er avril 2020 ne sont contestées. 2.4 Les charges incompressibles de C______ s'élèvent à 685 fr. 75 par mois, comprenant sa part du loyer (20% x [3'530 fr. / 2], soit 353 fr.), la prime d'assurance-maladie LAMal (115 fr. 25) et le montant de base selon les normes OP (600 fr.), sous déduction des allocations familiales (382 fr. 50). Il sera tenu compte d'un loyer correspondant à 20% de la moitié du loyer de la mère, et non du loyer entier, dans la mesure où cette dernière n'a pas justifié ne pas vivre en colocation avec la cotitulaire du bail et où, quand bien même elle y vivrait seule avec sa fille, tant le montant du loyer que la taille de cet appartement (5,5 pièces) sont exorbitants au regard de la composition familiale (deux personnes) et la situation financière de l'intimée. La moitié du montant du loyer</w:t>
      </w:r>
    </w:p>
    <w:p>
      <w:r>
        <w:t>- 9/12 -</w:t>
      </w:r>
    </w:p>
    <w:p>
      <w:r>
        <w:t>C/19315/2019 (1'765 fr.) se rapproche en effet du loyer moyen en zone suburbaine à Genève pour un appartement de 4 pièces - soit de taille suffisante pour l'intimée et sa fille - selon les statistiques cantonales genevoises (estimation effectuée au moyen du calculateur de loyer disponible sur internet). 2.5 Au vu de ce qui précède, il apparaît que le montant de 850 fr. que l'appelant offre de verser mensuellement à C______ est suffisant pour couvrir les charges de l'enfant. Compte tenu de la nature provisoire des présentes mesures et de l'âge de C______ (11 ans), il ne se justifie pas, à ce stade, de prévoir un palier d'augmentation de la contribution d'entretien au-delà de 15 ans. Par ailleurs, les besoins de l'enfant étant entièrement couverts, il n'est pas nécessaire de constater le montant de l'entretien convenable dans le dispositif de la décision (art. 301a let. c CPC; FF 2014, p. 561; ACJC/1188/2018 du 31 août 2018 consid. 4.2.5; ACJC/290/2018 du 6 mars 2018 consid. 2.1.3). Partant, les chiffres 2 et 3 du dispositif de la décision attaquée seront annulés et l'appelant condamné dans le sens de ce qui précède. 3.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3.1 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31 RTFMC), le jugement entrepris sera confirmé sur ce point. 3.2 Les frais judiciaires de la procédure d'appel sont fixés à 800 fr. (art. 31 et 35 RTFMC). Ils sont entièrement couverts par l'avance de frais du même montant opérée par l'appelant, laquelle demeure intégralement acquise à l'Etat de Genève (art. 111 al. 1 CPC).</w:t>
      </w:r>
    </w:p>
    <w:p>
      <w:r>
        <w:t>Pour des motifs d'équité liés à la nature et à l'issue du litige, ils seront répartis à parts égales entre les parties (art. 95, 104 al. 1, 105, 106 al. 1 et 107 al. 1 let. c CPC).</w:t>
      </w:r>
    </w:p>
    <w:p>
      <w:r>
        <w:t>L'intimée sera, par conséquent, condamnée à verser 400 fr. à l'appelant à titre de remboursement des frais judiciaires d'appel.</w:t>
      </w:r>
    </w:p>
    <w:p>
      <w:r>
        <w:t>- 10/12 -</w:t>
      </w:r>
    </w:p>
    <w:p>
      <w:r>
        <w:t>C/19315/2019</w:t>
      </w:r>
    </w:p>
    <w:p>
      <w:r>
        <w:t>Pour les mêmes motifs, l'appelant supportera ses dépens d'appel (art. 107 al. 1 let. c CPC). * * * * *</w:t>
      </w:r>
    </w:p>
    <w:p>
      <w:r>
        <w:t>- 11/12 -</w:t>
      </w:r>
    </w:p>
    <w:p>
      <w:r>
        <w:t>C/19315/2019 PAR CES MOTIFS, La Chambre civile : A la forme : Déclare recevable l'appel interjeté le 26 mars 2020 par A______ contre les chiffres 2 et 3 du dispositif du jugement JTPI/3972/2020 rendu le 12 mars 2020 par le Tribunal de première instance dans la cause C/19315/2019-2. Au fond : Annule les chiffres 2 et 3 du dispositif du jugement entrepris et, statuant à nouveau sur ces points : Condamne A______ à verser en mains de B______, par mois et d'avance, allocations familiales non comprises, une contribution à l'entretien de C______ de 850 fr. par mois dès le 1er avril 2020, sous déduction des éventuels montants d'ores et déjà versés à ce titre. Déboute les parties de toutes autres conclusions. Sur les frais : Arrête les frais judiciaires d'appel à 800 fr., les met à la charge des parties par moitié chacune et les compense avec l'avance fournie par A______, laquelle demeure entièrement acquise à l'Etat de Genève. Condamne B______ à verser 400 fr. à A______ à titre de remboursement des frais judiciaires d'appel. Dit que A______ supporte ses dépens d'appel. Siégeant : Madame Ursula ZEHETBAUER GHAVAMI, présidente; Madame Sylvie DROIN, Monsieur Jean REYMOND, juges; Madame Camille LESTEVEN, greffière.</w:t>
      </w:r>
    </w:p>
    <w:p>
      <w:r>
        <w:t>La présidente : Ursula ZEHETBAUER GHAVAMI</w:t>
      </w:r>
    </w:p>
    <w:p>
      <w:r>
        <w:t>La greffière : Camille LESTEVEN</w:t>
      </w:r>
    </w:p>
    <w:p>
      <w:r>
        <w:t>- 12/12 -</w:t>
      </w:r>
    </w:p>
    <w:p>
      <w:r>
        <w:t>C/19315/2019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février 2011 consid. 1.1). En l'espèce, la capitalisation, conformément à l'art. 92 al. 2 CPC, du montant des contributions d'entretien restées litigieuses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w:t>
      </w:r>
    </w:p>
    <w:p>
      <w:r>
        <w:t>- 7/12 -</w:t>
      </w:r>
    </w:p>
    <w:p>
      <w:r>
        <w:t>C/19315/2019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