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ACJC/831/2015 vom 25. Februar 2015</w:t>
      </w:r>
    </w:p>
    <w:p>
      <w:r>
        <w:t>GE Cour de justice, 2015-02-25, FR</w:t>
      </w:r>
    </w:p>
    <w:p>
      <w:r>
        <w:rPr>
          <w:b/>
        </w:rPr>
        <w:t xml:space="preserve">Quelle: </w:t>
      </w:r>
      <w:r>
        <w:t>https://mcp.opencaselaw.ch/entscheid/ge_gerichte_ACJC_831_2015</w:t>
      </w:r>
    </w:p>
    <w:p>
      <w:r>
        <w:t>FR: GE_GERICHTE ACJC/831/2015 du 25 février 2015</w:t>
      </w:r>
    </w:p>
    <w:p>
      <w:r>
        <w:t>IT: GE_GERICHTE ACJC/831/2015 del 25 febbraio 2015</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introduit en temps utile et selon la forme prescrite par la loi (art. 311 al. 1 CPC) et porte sur des conclusions qui, capitalisées selon l'art. 92 al. 2 CPC, sont supérieures à 10'000 fr. Il est donc recevable.</w:t>
      </w:r>
    </w:p>
    <w:p>
      <w:r>
        <w:rPr>
          <w:b/>
        </w:rPr>
        <w:t>E. 1.2</w:t>
      </w:r>
    </w:p>
    <w:p>
      <w:r>
        <w:t>Aux termes de l'art. 271 let. a CPC, les mesures protectrices de l'union conjugale (art. 172 à 179 CC) sont ordonnées à la suite d'une procédure sommaire. La cognition du juge est limitée à la simple vraisemblance des faits et à un examen sommaire du droit. Il suffit donc que les faits soient rendus plausibles (ATF 127 III 474 consid. 2b/bb; arrêts du Tribunal fédéral 5A_48/2013 et 5A_55/2013 du 19 juillet 2013 consid. 2.2). La Cour revoit la cause avec un plein pouvoir d'examen en fait et en droit. Dans la mesure où le litige concerne des enfants mineurs, les maximes d'office et inquisitoire illimitée sont applicables (art. 296 al. 1 et 3 CPC). Bien que les</w:t>
      </w:r>
    </w:p>
    <w:p>
      <w:r>
        <w:t>- 6/10 -</w:t>
      </w:r>
    </w:p>
    <w:p>
      <w:r>
        <w:t>C/19671/2014 moyens de preuve ne soient pas restreints aux seuls titres, l'administration des moyens de preuve doit pouvoir intervenir immédiatement (art. 254 al. 2 let. c CPC).</w:t>
      </w:r>
    </w:p>
    <w:p>
      <w:r>
        <w:rPr>
          <w:b/>
        </w:rPr>
        <w:t>E. 1.3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Les pièces nouvelles produites par les parties devant la Cour sont ainsi recevables. Les pièces sollicitées par l'appelante dans son acte d'appel ont été fournies par l'intimé avec sa réponse, de sorte que la cause est en état d'être jugée.</w:t>
      </w:r>
    </w:p>
    <w:p>
      <w:r>
        <w:rPr>
          <w:b/>
        </w:rPr>
        <w:t>E. 2</w:t>
      </w:r>
    </w:p>
    <w:p>
      <w:r>
        <w:t>L'appelante ne conteste pas les montants retenus par le Tribunal à titre de charges pour les parties ou les enfants. Elle fait cependant valoir que B______ a plus de revenus qu'il ne le prétend car son train de vie ne correspond pas à ses déclarations. En tout état de cause, un revenu hypothétique devait lui être imputé.</w:t>
      </w:r>
    </w:p>
    <w:p>
      <w:r>
        <w:rPr>
          <w:b/>
        </w:rPr>
        <w:t>E. 2.1.1</w:t>
      </w:r>
    </w:p>
    <w:p>
      <w:r>
        <w:t>Le principe et le montant de la contribution d'entretien due selon l'art. 176 al. 1 ch. 1 CC se déterminent en fonction des facultés économiques et des besoins respectifs des époux (ATF 121 I 97 consid. 3b p. 100; 118 II 376 consid. 20b p. 378). Le juge doit partir de la convention, expresse ou tacite, que les époux ont conclue au sujet de la répartition des tâches et des ressources entre eux (art. 163 al. 2 CC), l'art. 163 CC demeurant en effet la cause de l'obligation d'entretien réciproque des époux (ATF 137 III 385 consid. 3.1p. 386 s.).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p. 318; arrêt 5A_710/2009 consid. 4.1, non publié aux ATF 136 III 257).</w:t>
      </w:r>
    </w:p>
    <w:p>
      <w:r>
        <w:t>- 7/10 -</w:t>
      </w:r>
    </w:p>
    <w:p>
      <w:r>
        <w:t>C/19671/2014 La loi ne prescrit pas de méthode de calcul particulière pour arrêter la contribution d'entretien (ATF 128 III 411 consid. 3.2.2.); sa fixation relève de l'appréciation du juge, qui jouit d'un large pouvoir d'appréciation et applique les règles du droit et de l'équité (art. 4 CC; ATF 127 III 136 consid. 3a; 120 II 285 consid. 3b/bb; arrêt du Tribunal fédéral 5A_507/2007 du 23 avril 2008 consid. 5.1).</w:t>
      </w:r>
    </w:p>
    <w:p>
      <w:r>
        <w:rPr>
          <w:b/>
        </w:rPr>
        <w:t>E. 2.1.2</w:t>
      </w:r>
    </w:p>
    <w:p>
      <w:r>
        <w:t>En tant que des enfants mineurs sont concernés, le juge ordonne les mesures nécessaires d'après les dispositions sur les effets de la filiation (art. 176 al. 3 CC). L'entretien est assuré par les soins et l'éducation ou, lorsque l'enfant n'est pas sous la garde de ses père et mère, par des prestations pécuniaires (art. 276 al. 2 CC). 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L'obligation d'entretien trouve sa limite dans la capacité contributive du débirentier, en ce sens que le minimum vital de celui-ci doit être préservé (ATF 135 III 66 consid. 2; 123 III 1 consid. 3b/bb et consid.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5A_165/2013 du 28 août 2013 consid. 4.1; 5A_99/2011 du 26 septembre 2011 consid. 7.4.1 publié in: FamPra.ch 2012 p. 228). Lorsque le juge entend tenir compte d'un revenu hypothétique, il doit examiner successivement deux conditions. Tout d'abord, il doit déterminer si l'on peut raisonnablement exiger de l'époux concerné qu'il exerce une activité lucrative ou augmente celle-ci, compte tenu, notamment, de sa formation, de son âge et de son état de santé (arrêts du Tribunal fédéral 5A_99/2011 du 26 septembre 2011 consid. 7.4.1 non publié aux ATF 137 III 604 mais publié in: FamPra.ch 2012 p. 228; 5A_18/2011 du 1er juin 2011 consid. 3.1.1 et 5A_290/2010 et 5A_342/2010 du 28 octobre 2010 consid. 3.1 publié in: SJ 2011 I p. 177). Le juge doit ensuite examiner si la personne a la possibilité effective d'exercer l'activité</w:t>
      </w:r>
    </w:p>
    <w:p>
      <w:r>
        <w:t>- 8/10 -</w:t>
      </w:r>
    </w:p>
    <w:p>
      <w:r>
        <w:t>C/19671/2014 ainsi déterminée et quel revenu elle peut en obtenir, compte tenu des circonstances subjectives susmentionnées, ainsi que du marché du travail (ATF 137 III 102 consid. 4.2.2.2; 128 III 4 consid. 4c/bb; arrêts précités 5A_99/2011 consid. 7.4.1; 5A_18/2011 consid. 3.1.1).</w:t>
      </w:r>
    </w:p>
    <w:p>
      <w:r>
        <w:rPr>
          <w:b/>
        </w:rPr>
        <w:t>E. 2.2</w:t>
      </w:r>
    </w:p>
    <w:p>
      <w:r>
        <w:t>En l’espèce, les déclarations de l'intimé concernant le financement par sa mère et les enfants de sa compagne de son séjour à Londres sont corroborées par les pièces produites, à savoir les cartes de vœux qu'il a reçues à cette occasion. L'intimé a également produit une copie du bon cadeau qui a servi à financer ses vacances en Thaïlande. Le fait que l'intimé apparaisse souriant sur les photos prises à l'occasion de ces vacances n'est pas déterminant à lui seul, dans la mesure où son incapacité de travail est établie par certificats médicaux. Enfin, l'examen du relevé de compte bancaire de l'intimé corrobore les indications résultant des autres pièces produites et les déclarations qu'il a faites selon lesquelles il n'a, actuellement, pas d'autre source de revenu que les subsides de l'Hospice général et l'aide de ses proches. L'appelante n'a ainsi pas rendu vraisemblable que l'intimé dispose actuellement de revenus plus élevés que ce qui a été retenu par le Tribunal. Il reste à examiner la question de savoir si un revenu hypothétique peut lui être imputé. A cet égard, il convient de relever que l'intimé est en incapacité de travail depuis fin 2012, soit depuis environ 2 ans et demi. Selon le dernier certificat médical fourni, datant de janvier 2015, sa capacité de travail est nulle, pour une durée indéterminée. L'incapacité de travail complète de l'intimé est ainsi rendue vraisemblable par les pièces produites. Compte tenu de son état de santé, l'on ne peut pas raisonnablement retenir qu'il est capable, dans l'immédiat, de reprendre une activité lucrative. C'est par conséquent à juste titre que le Tribunal a considéré que l'intimé n'avait, en l'état, pas de capacité contributive et qu'il devait être dispensé de contribuer à l'entretien de sa famille. La situation pourra, cas échéant, être réexaminée dès que l'intimé aura retrouvé un travail. Par ailleurs, en application de l'art. 285 al. 2 bis CC, dans l'hypothèse où des rentes AI étaient à l'avenir allouées à l'intimé pour l'entretien des enfants des parties, les montants dus devront être versés à ceux-ci.</w:t>
      </w:r>
    </w:p>
    <w:p>
      <w:r>
        <w:t>- 9/10 -</w:t>
      </w:r>
    </w:p>
    <w:p>
      <w:r>
        <w:t>C/19671/2014 Compte tenu de ce qui précède, le jugement entrepris doit être confirmé.</w:t>
      </w:r>
    </w:p>
    <w:p>
      <w:r>
        <w:rPr>
          <w:b/>
        </w:rPr>
        <w:t>E. 3</w:t>
      </w:r>
    </w:p>
    <w:p>
      <w:r>
        <w:t>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 En l'espèce, les frais judiciaires d'appel seront arrêtés à 1'000 fr. (art. 30 et 35 du Règlement fixant le tarif des frais en matière civile, RTFMC - E 1 05.10) et mis à la charge de l'appelante, qui succombe. Dans la mesure où celle-ci est au bénéfice de l'assistance judiciaire, ils seront provisoirement supportés par l'Etat de Genève (art. 122 CPC) qui pourra en réclamer le remboursement ultérieurement si les conditions posées par l'art. 123 CPC sont réalisées. Compte tenu de la nature familiale du litige, chacune des parties supportera ses propres dépens d'appel (art. 107 al. 1 let. c CPC). * * * * *</w:t>
      </w:r>
    </w:p>
    <w:p>
      <w:r>
        <w:t>- 10/10 -</w:t>
      </w:r>
    </w:p>
    <w:p>
      <w:r>
        <w:t>C/19671/2014 PAR CES MOTIFS, La Chambre civile : A la forme : Déclare recevable l'appel interjeté par A______ contre le jugement JTPI/2469/2015 rendu le 25 février 2015 par le Tribunal de première instance dans la cause C/19671/2014-9. Au fond : Confirme le jugement querellé. Déboute les parties de toutes autres conclusions. Sur les frais : Arrête les frais judiciaires d'appel à 1'000 fr., les met à la charge de A______ et dit qu'ils sont provisoirement supportés par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