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ACJC/830/2025 vom 23. Juni 2025</w:t>
      </w:r>
    </w:p>
    <w:p>
      <w:r>
        <w:t>GE Cour de justice, 2025-06-23, FR</w:t>
      </w:r>
    </w:p>
    <w:p>
      <w:r>
        <w:rPr>
          <w:b/>
        </w:rPr>
        <w:t xml:space="preserve">Quelle: </w:t>
      </w:r>
      <w:r>
        <w:t>https://mcp.opencaselaw.ch/entscheid/ge_gerichte_ACJC_830_2025</w:t>
      </w:r>
    </w:p>
    <w:p>
      <w:r>
        <w:t>FR: GE_GERICHTE ACJC/830/2025 du 23 juin 2025</w:t>
      </w:r>
    </w:p>
    <w:p>
      <w:r>
        <w:t>IT: GE_GERICHTE ACJC/830/2025 del 23 giugno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nCPC), sous réserve des dispositions d'application immédiate énumérées à l'art. 407f nCPC. 1.2.1 L'appel est recevable contre les décisions finales de première instance, dans les affaires patrimoniales lorsque la valeur litigieuse au dernier état des conclusions est supérieure à 10'000 fr. (art. 308 CPC).</w:t>
      </w:r>
    </w:p>
    <w:p>
      <w:r>
        <w:t>Il doit être interjeté dans le délai utile de trente jours (art. 145 al. 1 let. b, 311 al. 1 CPC) et suivant la forme prescrite par la loi (art. 130, 131, 311 al. 1 CPC).</w:t>
      </w:r>
    </w:p>
    <w:p>
      <w:r>
        <w:t>1.2.2 En l'espèce, le jugement entrepris est une décision finale de première instance, la valeur litigieuse est supérieure à 10'000 fr. et l'appel a été entrepris dans le délai utile et selon la forme prescrite par la loi, de sorte qu'il est recevable.</w:t>
      </w:r>
    </w:p>
    <w:p>
      <w:r>
        <w:rPr>
          <w:b/>
        </w:rPr>
        <w:t>E. 1.3</w:t>
      </w:r>
    </w:p>
    <w:p>
      <w:r>
        <w:t>La cause est soumise à la maxime des débats et au principe de disposition (art. 55 al. 1 et 58 al. 1 CPC).</w:t>
      </w:r>
    </w:p>
    <w:p>
      <w:r>
        <w:t>La Cour revoit le fond du litige en fait et en droit avec un plein pouvoir d'examen (art. 310 CPC) et applique le droit d'office (art. 57 CPC). En particulier, elle contrôle librement l'appréciation des preuves effectuée par le juge de première instance et vérifie si celui-ci pouvait admettre les faits qu'il a retenus (ATF 138 III 374 consid. 4.3.1; arrêt du Tribunal fédéral 4A_153/2014 du 28 août 2014 consid. 2.2.3). Conformément à l'art. 311 al. 1 CPC, elle le fait cependant uniquement sur les points du jugement que l'appelante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la pièce nouvellement produite par l'appelante devant la Cour, qui consiste dans l'état de collocation dans la faillite de R______ Sàrl déposé le 15 mars 2024, est recevable puisqu'elle est postérieure au 12 mars 2024, date à laquelle le Tribunal a gardé la cause à juger.</w:t>
      </w:r>
    </w:p>
    <w:p>
      <w:r>
        <w:t>- 8/14 -</w:t>
      </w:r>
    </w:p>
    <w:p>
      <w:r>
        <w:t>C/3254/2023</w:t>
      </w:r>
    </w:p>
    <w:p>
      <w:r>
        <w:rPr>
          <w:b/>
        </w:rPr>
        <w:t>E. 3</w:t>
      </w:r>
    </w:p>
    <w:p>
      <w:r>
        <w:t>L'appelante reproche au Tribunal d'avoir constaté les faits de manière inexacte en fixant la date d'achèvement des travaux. Elle ne remet toutefois pas en cause l'établissement des faits, mais l'appréciation des preuves qu'a effectuée le premier juge pour retenir que les travaux ont pris fin le 23 décembre 2021, qui sera examinée sous consid. 4.2 ci-après.</w:t>
      </w:r>
    </w:p>
    <w:p>
      <w:r>
        <w:rPr>
          <w:b/>
        </w:rPr>
        <w:t>E. 4</w:t>
      </w:r>
    </w:p>
    <w:p>
      <w:r>
        <w:t>L'appelante soutient que les travaux faisant l'objet de ses factures des 30 novembre, 31 décembre 2021 et 28 février 2022 relevaient du même contrat et concernaient des commandes répétitives et que leur achèvement devait ainsi être fixé au 15 février 2022. Elle reproche en conséquence au Tribunal d'avoir considéré que les travaux facturés les 30 novembre et 31 décembre 2021 avaient pris fin au plus tard le 22 décembre 2021 et retenu que l'inscription provisoire des hypothèques légales opérée le 14 juin 2022 était tardive.</w:t>
      </w:r>
    </w:p>
    <w:p>
      <w:r>
        <w:t>4.1.1 Les artisans et entrepreneurs employés à la construction ou à la destruction d'un bâtiment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(art. 837 al. 1 ch. 3 CC). L'inscription de l'hypothèque des artisans et entrepreneurs doit être obtenue, à savoir opérée au registre foncier, au plus tard dans les quatre mois qui suivent l'achèvement des travaux (art. 839 al. 2 CC).</w:t>
      </w:r>
    </w:p>
    <w:p>
      <w:r>
        <w:t>Ce délai de quatre mois est un délai de péremption qui ne peut être ni suspendu ni interrompu, mais il peut être sauvegardé par l'annotation d'une inscription provisoire (ATF 137 III 563 consid. 3.3; 126 III 462 consid. 2c/aa; arrêts du Tribunal fédéral 5A_574/2023 du 28 février 2024 consid. 3.1; 5A_203/2023 du 30 août 2023 consid. 4.1.1; 5A_630/2021 du 26 novembre 2021 consid. 3.3.2.4; 5A_518/2020 du 22 octobre 2020 consid. 3.1 et les références citées).</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5A_574/2023 du 28 février 2024 consid. 3.1; 5A_203/2023 du 30 août 2023 consid. 4.1.1; 5A_109/2022 du 15 septembre 2022 consid. 2.2 et les références citées).</w:t>
      </w:r>
    </w:p>
    <w:p>
      <w:r>
        <w:t>- 9/14 -</w:t>
      </w:r>
    </w:p>
    <w:p>
      <w:r>
        <w:t>C/3254/2023</w:t>
      </w:r>
    </w:p>
    <w:p>
      <w:r>
        <w:t>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arrêt du Tribunal fédéral 5A_574/2023 du 28 février 2024 consid. 3.1).</w:t>
      </w:r>
    </w:p>
    <w:p>
      <w:r>
        <w:t>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et c; 104 II 348 consid. II.2). Dans cette hypothèse, l'entrepreneur est en droit de faire inscrire l'hypothèque légale pour le montant total de ce qui lui est dû dans les quatre mois dès l'achèvement des derniers travaux formant cette unité (arrêt du Tribunal fédéral 5A_574/2023 du 28 février 2024 consid. 3.1).</w:t>
      </w:r>
    </w:p>
    <w:p>
      <w:r>
        <w:t>En revanche, lorsqu'un entrepreneur se voit attribuer après coup d'autres travaux de nature différente, le délai commence à courir pour chacun d'eux séparément, à partir de l'achèvement des travaux auxquels il se rapporte (ATF 111 II 343 consid. 2c; 104 II 248 consid. II.2; 76 II 134 consid. 1).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111 II 343 consid. 2c; arrêts du Tribunal fédéral 5A_574/2023 du 28 février 2024 consid. 3.1; 5A_630/2021 5A_630/2021 du 26 novembre 2021 consid. 3.3.2.4; 5A_282/2016 du 17 janvier 2017 consid. 7.1 et les références citées, publié in SJ 2017 I 265 et in RNRF 2019 p. 109).</w:t>
      </w:r>
    </w:p>
    <w:p>
      <w:r>
        <w:t>La livraison (réception) de l'ouvrage est un concept juridique, qui repose sur des éléments de fait précis, qui consiste dans la remise par l'entrepreneur au maître de l'ouvrage achevé et réalisé conformément au contrat. La livraison par l'entrepreneur se fait par tradition ou par un avis, exprès ou tacite, de celui-ci au maître (ATF 129 III 738 consid. 7.2; 115 II 456 consid. 4; arrêt du Tribunal fédéral 4A_653/2015 du 11 juillet 2016 consid. 3.2.1).</w:t>
      </w:r>
    </w:p>
    <w:p>
      <w:r>
        <w:t>Il appartient à l'entrepreneur qui demande l'inscription définitive d'une hypothèque légale des artisans et des entrepreneurs inscrite à titre provisoire de prouver que l'inscription provisoire du gage a été effectuée à temps (art. 8 CC; arrêt du Tribunal fédéral 5A_589/2023 du 18 avril 2024 consid. 3.5.3).</w:t>
      </w:r>
    </w:p>
    <w:p>
      <w:r>
        <w:rPr>
          <w:b/>
        </w:rPr>
        <w:t>E. 4.2</w:t>
      </w:r>
    </w:p>
    <w:p>
      <w:r>
        <w:t>En l'espèce, le Tribunal a rejeté la demande tendant à l'inscription définitive des hypothèques légales d'artisans et d'entrepreneurs provisoirement inscrites en faveur de l'appelante le 14 juin 2022 au motif que ces hypothèques avaient été inscrites</w:t>
      </w:r>
    </w:p>
    <w:p>
      <w:r>
        <w:t>- 10/14 -</w:t>
      </w:r>
    </w:p>
    <w:p>
      <w:r>
        <w:t>C/3254/2023 après écoulement du délai de quatre mois à compter de la fin des travaux. Il a retenu que les travaux confiés à R______ Sàrl par T______ SA avaient été livrés le 23 décembre 2021 et que cette dernière avait réglé la facture y relative en janvier 2022. Le délai de quatre mois prévu par la loi avait ainsi commencé à courir au plus tard le 22 décembre 2021. A______ SA n'avait en outre pas démontré que les prestations qu'elle avait fournies en février 2022 étaient en lien avec les travaux accomplis durant l'année 2021, ni que ses différentes prestations avaient fait l'objet d'une seule commande ou qu'elles étaient interdépendantes les unes des autres justifiant qu'elles soient prises en considération comme un tout.</w:t>
      </w:r>
    </w:p>
    <w:p>
      <w:r>
        <w:t>L'appelante fait en particulier grief au premier juge d'avoir, dans le cadre de son appréciation des moyens de preuve, accordé trop d'importance au document intitulé "Réception de l'ouvrage" du 23 décembre 2021 et de n'avoir, à l'inverse, pas suffisamment tenu compte de sa facture du 28 février 2022, des déclarations de son représentant U______ et des témoignages de son employée V______ et de Y______, administrateur de R______ Sàrl, selon lesquels elle était intervenue sur le chantier en février 2022. Il n'est en l'occurrence pas remis en cause que T______ SA a, par contrat du 2 septembre 2021, confié à R______ Sàrl les travaux de désamiantage et de démolition, qui comprenaient l'évacuation des matériaux et le traitement des déchets, limités à la phase de démolition du chantier, ni qu'R______ Sàrl a, un mois plus tard, sous-traité les travaux d'évacuation des matériaux et de traitement des déchets à l'appelante.</w:t>
      </w:r>
    </w:p>
    <w:p>
      <w:r>
        <w:t>Le Tribunal s'est, à juste titre, fondé sur le document intitulé "Réception de l'ouvrage" signés par T______ SA et R______ Sàrl le 23 décembre 2021, dont il ressort que les travaux confiés à R______ Sàrl avaient été livrés et étaient exempts de défaut, pour en déduire que les travaux que R______ Sàrl avait sous-traités à l'appelante avaient été livrés à cette date. Cette réception des travaux a également été confirmée par X______, administrateur de T______ SA, et Y______, administrateur de R______ Sàrl, qui ont, lors de leur audition en qualité de témoins, déclaré que les travaux de démolition étaient terminés à fin décembre 2021 et qu'il n'y avait plus de déchets à évacuer. Le fait que T______ SA ait réglé, en date du 22 janvier 2022, le solde de la facture de R______ Sàrl pour les travaux confiés le 2 septembre 2021, conforte également l'appréciation selon laquelle les travaux que T______ SA a confiés à R______ Sàrl, que celle-ci a en partie sous-traité à l'appelante, ont été achevés au plus tard le 22 décembre 2021, comme l'a retenu le premier juge.</w:t>
      </w:r>
    </w:p>
    <w:p>
      <w:r>
        <w:t>L'appelante ne saurait en particulier être suivie lorsqu'elle remet en cause la force probante de l'attestation de réception de l'ouvrage signé le 23 décembre 2021 en soutenant qu'elle consisterait en un document de complaisance ne reflétant pas la réalité : elle se prévaut des relations qu'entretiennent T______ SA et R______ Sàrl,</w:t>
      </w:r>
    </w:p>
    <w:p>
      <w:r>
        <w:t>- 11/14 -</w:t>
      </w:r>
    </w:p>
    <w:p>
      <w:r>
        <w:t>C/3254/2023 mais ne fournit aucun élément de preuve ni indice de nature à remettre en cause le document litigieux.</w:t>
      </w:r>
    </w:p>
    <w:p>
      <w:r>
        <w:t>C'est également à tort que l'appelante reproche au premier juge de n'avoir pas suffisamment pris en considération sa facture du 28 février 2022, les déclarations de son administrateur U______ et des témoins V______ et Y______, administrateur de R______ Sàrl, faisant état de l'intervention de l'appelante sur le chantier en février 2022 : le Tribunal a en effet tenu compte de la facture de l'appelante du 28 février 2022 puisqu'il en a déduit que les prestations facturées n'avaient pas été contestées, que la facture avait été réglée et que des prestations de "transport à vide" et d'évacuation de "bois problématique" avaient été effectuées les 1er et 15 février 2022. Le Tribunal a en revanche estimé que l'appelante n'avait pas démontré que les prestations qu'elle avait effectuées en février 2022, alors qu'elle n'était pas intervenue en janvier 2022, étaient liées, faisaient d'une seule commande ou avaient été fournies d'un seul trait avec les travaux effectués en novembre et décembre 2021. Pour soutenir que l'ensemble des travaux qu'elle a exécutés formaient une entité, l'appelante s'est prévalue de ce qu'elle n'était pas responsable des délais entre ses différentes interventions qui lui avaient imposés par R______ Sàrl, qu'il était notoire qu'elle agissait sur la base du contrat du 2 septembre 2021 qui incluait la démolition et le traitement de tous les déchets qui se trouvaient sur la parcelle, ceux de la villa mais également ceux qui se trouvaient à l'extérieur, qu'il était manifeste que l'attestation de réception de l'ouvrage du 23 décembre 2021 ne concernait que la partie des travaux portant sur la villa et qu'il restait une quantité importante de déchets à évacuer comme le "bois problématique" faisant l'objet de la facture du 28 février 2022, ou encore le fait que R______ Sàrl se soit acquittée de cette facture sans avoir réclamé aucun montant supplémentaire à T______ SA. Ces explications ne suffisent toutefois pas à établir que les prestations fournies par l'appelante en février 2022 relèvent des travaux que R______ Sàrl lui avait sous-traités en automne 2021, qui avaient été exécutés en novembre et décembre 2021 et réceptionnés le 23 décembre 2021. En définitive, compte tenu de l'ensemble de ces éléments, la Cour considère, à l'instar du Tribunal, que les travaux exécutés par l'appelante en novembre et décembre 2021, facturés par celle-ci les 30 novembre et 31 décembre 2021 et litigieux dans la présente procédure, ont été achevés au plus tard le 22 décembre 2021 au regard de la réception de ces travaux attestée le 23 décembre 2021, de l'absence de toute intervention de l'appelante sur le chantier en janvier 2022 et faute d'unité suffisante entre ces travaux et les prestations fournies par l'appelante en février 2022.</w:t>
      </w:r>
    </w:p>
    <w:p>
      <w:r>
        <w:t>- 12/14 -</w:t>
      </w:r>
    </w:p>
    <w:p>
      <w:r>
        <w:t>C/3254/2023</w:t>
      </w:r>
    </w:p>
    <w:p>
      <w:r>
        <w:t>Les hypothèques légales d'artisans et d'entrepreneurs provisoirement inscrites le 14 juin 2022 l'ont ainsi été après écoulement du délai de quatre mois de l'art. 839 al. 2 CO.</w:t>
      </w:r>
    </w:p>
    <w:p>
      <w:r>
        <w:t>C'est, partant, à bon droit que le Tribunal a rejeté les conclusions tendant à l'inscription définitive de ces hypothèques.</w:t>
      </w:r>
    </w:p>
    <w:p>
      <w:r>
        <w:t>Les griefs soulevés par l'appelant n'étant pas fondés, le jugement entrepris sera confirmé.</w:t>
      </w:r>
    </w:p>
    <w:p>
      <w:r>
        <w:rPr>
          <w:b/>
        </w:rPr>
        <w:t>E. 5</w:t>
      </w:r>
    </w:p>
    <w:p>
      <w:r>
        <w:t>Il sera enfin relevé ici que, même dans l'hypothèse où l'inscription provisoire de l'hypothèque légale avait été effectuée dans le délai prescrit par l'art. 839 al. 2 CO, son inscription définitive aurait alors dû être rejetée en raison de la nature des prestations confiées à l'appelante.</w:t>
      </w:r>
    </w:p>
    <w:p>
      <w:r>
        <w:rPr>
          <w:b/>
        </w:rPr>
        <w:t>E. 5.1</w:t>
      </w:r>
    </w:p>
    <w:p>
      <w:r>
        <w:t>En effet, l'art. 837 al. 1 ch. 3 CC permet aux artisans et entrepreneurs employés à la construction ou à la destruction d'un bâtiment ou d'autres ouvrages, au montage d'échafaudages, à la sécurisation d'une excavation ou à d'autres travaux semblables, de requérir l'inscription d'une hypothèque légale sur l'immeuble pour lequel ils ont fourni des matériaux et du travail ou du travail seulement. Le transport de matériaux - y compris les travaux de chargement et de déchargement pour le transport - ne donne en revanche pas lieu à cette sûreté réelle (ATF 149 III 451 consid. 5.2.6 et les références citées). L'entrepreneur ayant livré des matériaux qui, pris isolément, ne peuvent pas donner lieu à l'hypothèque légale, peut néanmoins bénéficier de celle-ci si ces matériaux forment une unité avec d'autres qui, eux, donnent lieu à l'hypothèque.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Tel sera assurément le cas si les gravats sont débarrassés par l'entreprise qui a elle-même procédé aux travaux de démolition (ATF 149 III 451 consid. 5.2.6 et les références citées; ACJC/748/2024 du 10 juin 2024 consid. 2.2). Il appartient à l'entrepreneur qui demande l'inscription définitive d'une hypothèque légale des artisans et des entrepreneurs inscrite à titre provisoire de prouver les faits à la base de sa créance donnant droit au gage (art. 8 CC; arrêt du Tribunal fédéral 5A_589/2023 du 18 avril 2024 consid. 3.5.3).</w:t>
      </w:r>
    </w:p>
    <w:p>
      <w:r>
        <w:rPr>
          <w:b/>
        </w:rPr>
        <w:t>E. 5.2</w:t>
      </w:r>
    </w:p>
    <w:p>
      <w:r>
        <w:t>Dans le cas d'espèce, les prestations confiées à l'appelante ont consisté dans la mise à disposition de bennes sur le chantier, leur transport et le déchargement des matériaux issus de la démolition, ainsi que leur tri. Il s'agit de prestations de transport, facturées en fonction du volume de déchets évacué, de leur catégorie et du mode de transport effectué, qui ne permettent pas de bénéficier de la garantie réelle au regard de la jurisprudence fédérale citée ci-avant. Il en serait allé différemment si ces prestations de transport avaient formé une unité fonctionnelle</w:t>
      </w:r>
    </w:p>
    <w:p>
      <w:r>
        <w:t>- 13/14 -</w:t>
      </w:r>
    </w:p>
    <w:p>
      <w:r>
        <w:t>C/3254/2023 avec d'autres travaux protégés par le gage, notamment si les déchets évacués étaient issus de travaux de démolition que l'appelante aurait elle-même exécutés, ce qui n'était toutefois pas le cas. La nature des prestations fournies par l'appelante n'aurait ainsi pas permis de donner suite à sa demande d'inscription définitive d'une hypothèque légale d'artisans et d'entrepreneurs même si cette dernière avait été inscrite provisoirement dans les délais prescrits.</w:t>
      </w:r>
    </w:p>
    <w:p>
      <w:r>
        <w:rPr>
          <w:b/>
        </w:rPr>
        <w:t>E. 6</w:t>
      </w:r>
    </w:p>
    <w:p>
      <w:r>
        <w:t>Les frais judiciaires d'appel, arrêtés à 3'600 fr. (art. 13, 17 et 35 RTFMC), seront mis à la charge de l'appelante, qui succombe (art. 106 al. 1 CPC), et entièrement compensés avec l'avance de frais versée par celle-ci, qui reste acquise à l'Etat de Genève (art. 111 al. 1 CPC).</w:t>
      </w:r>
    </w:p>
    <w:p>
      <w:r>
        <w:t>L'appelante sera par ailleurs condamnée à verser des dépens d'appel à hauteur de 3'000 fr. en faveur des intimés B______, C______, D______ Sàrl, E______, F______, et G______, créanciers solidaires, et de 3'000 fr. aux intimés H______, J______, K______, L______, M______, N______ et O______, créanciers solidaires (art. 96 et 106 al. 1 CPC; art. 20, 25 et 26 LaCC: art. 84, 85 et 90 RTFMC).</w:t>
      </w:r>
    </w:p>
    <w:p>
      <w:r>
        <w:t>Aucun dépens ne sera alloué à P______, qui n'a pas participé à la procédure. * * * * *</w:t>
      </w:r>
    </w:p>
    <w:p>
      <w:r>
        <w:t>- 14/14 -</w:t>
      </w:r>
    </w:p>
    <w:p>
      <w:r>
        <w:t>C/3254/2023</w:t>
      </w:r>
    </w:p>
    <w:p>
      <w:r>
        <w:t>PAR CES MOTIFS, La Chambre civile : A la forme : Déclare recevable l'appel interjeté le 2 août 2024 par A______ SA contre le jugement JTPI/8108/2024 rendu le 24 juin 2024 par le Tribunal de première instance dans la cause C/3254/2023. Au fond : Confirme ce jugement. Déboute les parties de toutes autres conclusions. Sur les frais d'appel : Arrête les frais judiciaires d'appel à 3'600 fr., les met à la charge de A______ SA et les compense avec l'avance versée, acquise à l'Etat de Genève. Condamne A______ SA à payer, à titre de dépens d'appel, les sommes de 3'000 fr. à B______, C______, D______ Sàrl, E______, F______, et G______, créanciers solidaires, et de 3'000 fr. à H______, J______, K______, L______, M______, N______ et O______, créanciers solidaires. Siégeant : Monsieur Laurent RIEBEN, président; Madame Fabienne GEISINGER-MARIETHOZ,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