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ACJC/829/2024 vom 26. Juni 2024</w:t>
      </w:r>
    </w:p>
    <w:p>
      <w:r>
        <w:t>GE Cour de justice, 2024-06-26, FR</w:t>
      </w:r>
    </w:p>
    <w:p>
      <w:r>
        <w:rPr>
          <w:b/>
        </w:rPr>
        <w:t xml:space="preserve">Quelle: </w:t>
      </w:r>
      <w:r>
        <w:t>https://mcp.opencaselaw.ch/entscheid/ge_gerichte_ACJC_829_2024</w:t>
      </w:r>
    </w:p>
    <w:p>
      <w:r>
        <w:t>FR: GE_GERICHTE ACJC/829/2024 du 26 juin 2024</w:t>
      </w:r>
    </w:p>
    <w:p>
      <w:r>
        <w:t>IT: GE_GERICHTE ACJC/829/2024 del 26 giugno 2024</w:t>
      </w:r>
    </w:p>
    <w:p>
      <w:pPr>
        <w:pStyle w:val="Heading2"/>
      </w:pPr>
      <w:r>
        <w:t>Erwägungen</w:t>
      </w:r>
    </w:p>
    <w:p>
      <w:r>
        <w:rPr>
          <w:b/>
        </w:rPr>
        <w:t>E. 1.1</w:t>
      </w:r>
    </w:p>
    <w:p>
      <w:r>
        <w:t>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sécurité du droit et la stabilité des relations juridiques exigent qu'une décision entrée en force tranche définitivement et une fois pour toutes le litige des parties et ne puisse en principe plus être remise en cause, même si elle repose sur des fondements erronés. Afin de permettre néanmoins la manifestation de la vérité matérielle, la loi donne, par la révision selon les art. 328 ss CPC, la possibilité de corriger un jugement entré en force s'il est affecté de vices graves et ainsi, de rompre exceptionnellement et à des conditions strictes la force de chose jugée. La révision ne saurait en aucun cas servir à éliminer les inconvénients que le demandeur à la révision a lui-même occasionné par un comportement procédural négligent. Il faut que, dans la procédure ordinaire, le demandeur à la révision n'ait pas pu, malgré toute sa diligence dans la collecte des éléments du procès,</w:t>
      </w:r>
    </w:p>
    <w:p>
      <w:r>
        <w:t>- 4/6 -</w:t>
      </w:r>
    </w:p>
    <w:p>
      <w:r>
        <w:t>C/12120/2019 présenter en temps utile les allégués ou moyens de preuves qu'il fait valoir après coup. Il semble indiqué de poser des exigences élevées quant à la diligence à déployer dans la collecte des éléments du procès. Ce qui a été omis dans la procédure principale ne peut pas être rattrapé par la voie de la révision (arrêt du Tribunal fédéral 5D_83/2017 du 27 novembre 2017 consid. 2.3.1). Les moyens de preuve concluants au sens de l'art 328 al. 1 let. a CPC sont ceux qui répondent aux cinq conditions suivantes : ils doivent (1) porter sur des faits antérieurs (pseudo-nova), (2) être concluants, c'est-à-dire propres à entraîner une modification du jugement dans un sens favorable au requérant, (3) avoir déjà existé jusqu'au dernier moment où ils pouvaient encore être introduites dans la procédure principale, (4) avoir été découverts seulement après coup, et (5) le requérant n'a pas pu les invoquer, sans faute de sa part, dans la procédure précédente (ATF 143 III 272 consid. 2.2).</w:t>
      </w:r>
    </w:p>
    <w:p>
      <w:r>
        <w:t>Les moyens de preuve postérieurs sont expressément exclus. En effet, la révision a pour but de rectifier une décision en raison de lacunes ou d'inexactitudes dont elle était affectée au moment où elle a été rendue, et non en raison d'événements postérieurs, ce qui exclut les moyens de preuve dont la date est postérieure. Par exemple, une expertise établie postérieurement au dernier moment auquel elle pouvait encore être invoquée dans la procédure précédente ne peut justifier une révision de la décision. Le fait que la preuve soit destinée à établir un fait antérieur importe peu à cet égard (arrêt du Tribunal fédéral 5A_474/2018 du 10 août 2018 2018 consid. 5.1 et 5.2). Lorsqu'est demandée la révision d'un arrêt d'appel, sont des faits antérieurs (pseudo nova) les faits qui existaient déjà au début des délibérations de la cour d'appel, soit dès la clôture des débats, s'il y en a eu, ou au moment où elle a communiqué aux parties que la cause est gardée à juger. Les faits qui se sont produits après que la cause a été gardée à juger, c'est-à-dire après le début des délibérations d'appel, sont postérieurs (vrais nova) et ne remplissent pas les conditions de l'art. 328 al. 1 lit. a CPC (ATF 143 III 272 consid. 2.3 - 2.4).</w:t>
      </w:r>
    </w:p>
    <w:p>
      <w:r>
        <w:rPr>
          <w:b/>
        </w:rPr>
        <w:t>E. 1.1.2</w:t>
      </w:r>
    </w:p>
    <w:p>
      <w:r>
        <w:t>Le délai pour demander la révision est de 90 jours à compter de celui où le motif de révision est découvert; la demande est écrite et motivée (art. 329 al. 1 CPC).</w:t>
      </w:r>
    </w:p>
    <w:p>
      <w:r>
        <w:t>Dans une demande en révision, le motif de révision doit être exposé en détails, en indiquant les moyens de preuves; il ne suffit pas d'en alléguer simplement l'existence. Il faut au contraire exposer pourquoi ce motif est donné et en quoi, en conséquence, le dispositif de la décision doit être modifié (arrêt du Tribunal fédéral 4F_25/2018 du 28 novembre 2018).</w:t>
      </w:r>
    </w:p>
    <w:p>
      <w:r>
        <w:rPr>
          <w:b/>
        </w:rPr>
        <w:t>E. 1.1.3</w:t>
      </w:r>
    </w:p>
    <w:p>
      <w:r>
        <w:t>Si le tribunal accepte la demande en révision, il annule la décision antérieure et statue à nouveau (art. 333 al. 1 CPC).</w:t>
      </w:r>
    </w:p>
    <w:p>
      <w:r>
        <w:rPr>
          <w:b/>
        </w:rPr>
        <w:t>E. 1.1.4</w:t>
      </w:r>
    </w:p>
    <w:p>
      <w:r>
        <w:t>L'échange d'écritures vise à faire respecter le droit d'être entendu de la partie intimée à l'appel; il ne sert pas à donner ensuite l'occasion à l'appelant, qui n'aurait</w:t>
      </w:r>
    </w:p>
    <w:p>
      <w:r>
        <w:t>- 5/6 -</w:t>
      </w:r>
    </w:p>
    <w:p>
      <w:r>
        <w:t>C/12120/2019 lui-même pas été complet, de s'exprimer lors d'un second échange d'écritures (arrêt du Tribunal fédéral 5A_737/2012 du 23 janvier 2013 consid. 4.2.3).</w:t>
      </w:r>
    </w:p>
    <w:p>
      <w:r>
        <w:rPr>
          <w:b/>
        </w:rPr>
        <w:t>E. 1.2</w:t>
      </w:r>
    </w:p>
    <w:p>
      <w:r>
        <w:t>En l'espèce, le moyen de preuve nouveau invoqué par la demanderesse en révision, à savoir l'expertise effectuée le 20 décembre 2023, ne remplit pas les conditions posées par l'art. 328 al. 1 let. a CPC.</w:t>
      </w:r>
    </w:p>
    <w:p>
      <w:r>
        <w:t>En effet, cette expertise n'existait pas le 22 octobre 2021, date à laquelle la Cour a gardé la cause à juger. Ce moyen de preuve n'existait ainsi pas jusqu'au dernier moment où il pouvait être introduit dans la procédure principale.</w:t>
      </w:r>
    </w:p>
    <w:p>
      <w:r>
        <w:t>Il ressort de ce qui précède qu'il ne s'agit pas d'un moyen de preuve concluant que la demanderesse ne pouvait pas invoquer dans la procédure précédente au sens de l'art. 328 al. 1 let. a CPC.</w:t>
      </w:r>
    </w:p>
    <w:p>
      <w:r>
        <w:t>Cela a pour conséquence que la demande en révision est irrecevable.</w:t>
      </w:r>
    </w:p>
    <w:p>
      <w:r>
        <w:t>A cela s'ajoute que la demande en révision est également irrecevable en tant que la demanderesse conclut à ce que la Cour annule le jugement d'évacuation du Tribunal du 25 mai 2023 rendu dans la cause C/2______/2023. En effet, la Cour ne saurait, par le biais d'une demande de révision portant sur l'ACJC/116/2023 du 13 novembre 2023 rendu dans la présente cause, modifier un jugement rendu par le Tribunal dans une autre cause, ce d'autant plus que ledit jugement a été confirmé par ACJC/1594/2023 du 4 décembre 2023.</w:t>
      </w:r>
    </w:p>
    <w:p>
      <w:r>
        <w:t>En tout état de cause, le jugement du Tribunal du 25 mai 2023 a été exécuté le 11 mars 2024, de sorte qu'il ne peut plus être annulé. Cela rend sans objet la présente demande de révision, ce que la demanderesse a d'ailleurs expressément admis, puisqu'elle relève dans sa demande que celle-ci deviendrait caduque en cas d'exécution du jugement d'évacuation.</w:t>
      </w:r>
    </w:p>
    <w:p>
      <w:r>
        <w:t>La demande en révision sera par conséquent déclarée irrecevable.</w:t>
      </w:r>
    </w:p>
    <w:p>
      <w:r>
        <w:rPr>
          <w:b/>
        </w:rPr>
        <w:t>E. 2</w:t>
      </w:r>
    </w:p>
    <w:p>
      <w:r>
        <w:t>Par gain de paix, et compte tenu du fait que la demanderesse a été évacuée de l'appartement litigieux, il sera renoncé à lui infliger une amende de procédure.</w:t>
      </w:r>
    </w:p>
    <w:p>
      <w:r>
        <w:rPr>
          <w:b/>
        </w:rPr>
        <w:t>E. 3</w:t>
      </w:r>
    </w:p>
    <w:p>
      <w:r>
        <w:t>A teneur de l'art. 22 al. 1 LaCC, il n'est pas prélevé de frais dans les causes soumises à la juridiction des baux et loyers (ATF 139 III 182 consid. 2.6). * * * * *</w:t>
      </w:r>
    </w:p>
    <w:p>
      <w:r>
        <w:t>- 6/6 -</w:t>
      </w:r>
    </w:p>
    <w:p>
      <w:r>
        <w:t>C/12120/2019 PAR CES MOTIFS, La Chambre des baux et loyers :</w:t>
      </w:r>
    </w:p>
    <w:p>
      <w:r>
        <w:t>Déclare irrecevable la demande de révision déposée le 31 janvier 2024 par A______ contre l'arrêt ACJC/116/2023 rendu le 23 janvier 2023 par la Cour de justice dans la cause C/12120/2019. Dit que la procédure est gratuite. Siégeant : Madame Nathalie LANDRY-BARTHE, présidente; Madame Pauline ERARD et Madame Fabienne GEISINGER-MARIETHOZ, juges; Monsieur Jean-Philippe ANTHONIOZ et Serge PATEK,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