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ACJC/829/2016 vom 1. September 2015</w:t>
      </w:r>
    </w:p>
    <w:p>
      <w:r>
        <w:t>GE Cour de justice, 2015-09-01, FR</w:t>
      </w:r>
    </w:p>
    <w:p>
      <w:r>
        <w:rPr>
          <w:b/>
        </w:rPr>
        <w:t xml:space="preserve">Quelle: </w:t>
      </w:r>
      <w:r>
        <w:t>https://mcp.opencaselaw.ch/entscheid/ge_gerichte_ACJC_829_2016</w:t>
      </w:r>
    </w:p>
    <w:p>
      <w:r>
        <w:t>FR: GE_GERICHTE ACJC/829/2016 du 1 septembre 2015</w:t>
      </w:r>
    </w:p>
    <w:p>
      <w:r>
        <w:t>IT: GE_GERICHTE ACJC/829/2016 del 1 settembre 2015</w:t>
      </w:r>
    </w:p>
    <w:p>
      <w:pPr>
        <w:pStyle w:val="Heading2"/>
      </w:pPr>
      <w:r>
        <w:t>Erwägungen</w:t>
      </w:r>
    </w:p>
    <w:p>
      <w:r>
        <w:rPr>
          <w:b/>
        </w:rPr>
        <w:t>E. 31</w:t>
      </w:r>
    </w:p>
    <w:p>
      <w:r>
        <w:t>juillet 2015. k. Le congé a été contesté par requête du 20 août 2014 adressée à la Commission de conciliation en matière de baux et loyers. La procédure a été inscrite sous le numéro de cause C/16948/2014. Tout comme l’autre procédure, elle a été déclarée non conciliée lors de l’audience du 27 octobre 2014. l. Par courrier du 20 novembre 2014, le Conseil de B______ a informé celui de C______ que sa cliente acceptait la compétence du Tribunal des baux et loyers et renonçait à se prévaloir de la clause d’arbitrage. m. C______ a porté les deux causes devant le Tribunal des baux et loyers le 27 novembre 2014. n. Dans ses écritures du 21 janvier 2015, B______ a admis que les parties étaient liées par un contrat de bail à ferme. Elle a relevé que le courriel du 3 avril 2014 ne constituait pas une résiliation et a conclu à la validation du congé donné le 21 juillet 2014. Elle a relevé que C______ proposait dans divers points de vente, notamment à Genève, des produits identiques à ceux de son stand chez B______, sous l’enseigne « F______ ». o. A l’audience du 24 février 2015, le Tribunal a ordonné la jonction des causes sous numéro C/8781/2014. Les représentants des deux parties ont indiqué que leur collaboration se poursuivait. G______, responsable des achats chez B______, a exposé que le motif de la résiliation du contrat résidait dans la nouvelle stratégie de la société sur son site de Adresse 1______, visant à proposer une gamme de produits plus élevée. Des enseignes actives dans le haut de gamme s’étaient ainsi nouvellement installées et</w:t>
      </w:r>
    </w:p>
    <w:p>
      <w:r>
        <w:t>- 6/9 -</w:t>
      </w:r>
    </w:p>
    <w:p>
      <w:r>
        <w:t>C/8781/2014 le contrat de bail d’une autre enseigne proposant des produits de moyenne gamme avait été résilié. En outre, d’autres résiliations seraient notifiées dans le futur, pour le même motif. Le souhait de B______ de se spécialiser dans la vente de produits haut de gamme avait débuté par le rayon confection, et que c’était à présent l’étape du « ______ ». Elle a précisé qu’il ne s’agissait pas d’un problème relationnel avec C______, mais que cette résiliation s’inscrivait bien dans le cadre de cette nouvelle stratégie. Le changement de stratégie avait été pris par la direction générale de B______ et que ce changement ne concernait, à Genève, que la succursale de Adresse 1______, à l’exclusion donc de celle de E______. Cette décision concernait par exemple également la succursale se trouvant à Zurich ______. La décision en lien avec la résiliation des baux a également été prise par la direction générale de B______, dans ce cadre-là. C______ a déclaré pour sa part que, contrairement au magasin exploité à Adresse 1______, la moitié environ des points de vente « F______ » était franchisée. Il a précisé que, lors de l’entrevue du 1er avril 2014, les représentants de B______ lui avaient indiqué qu’il recevrait confirmation du congé par mail avec des propositions de date pour régler la fin du contrat. Concernant le motif invoqué à l’appui du congé, C______ a déclaré que, lors de l’entrevue du 1er avril 2014, le seul motif avancé par les représentants de B______ était un souci de rentabilisation de leur cuisine centrale. p. Lors de l’audience du 26 mai 2015, le Tribunal a procédé à l’audition de trois témoins. Il est ressorti de celles-ci que la stratégie de B______ d’améliorer le standing était développée par ladite société au niveau national. q. A l’issue de l’audience du 26 mai 2015, le Tribunal a procédé à la rectification de la qualité de la partie demanderesse, A______ remplaçant ainsi C______, à la suite du changement de raison sociale de la société. r. Par plaidoiries écrites du 15 juillet 2015, les deux parties ont persisté dans leurs conclusions. A______ a considéré que la résiliation du contrat permettrait à B______ de vendre sous sa propre enseigne des produits que lui-même proposait aux clients depuis une vingtaine d’années. s. A réception des écritures susmentionnées, le Tribunal a gardé la cause à juger. EN DROIT 1. 1.1 L'appel est recevable contre les décisions finales et les décisions incidentes de première instance (art. 308 al. 1 let. a CPC). Dans les affaires patrimoniales,</w:t>
      </w:r>
    </w:p>
    <w:p>
      <w:r>
        <w:t>- 7/9 -</w:t>
      </w:r>
    </w:p>
    <w:p>
      <w:r>
        <w:t>C/8781/2014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et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 consid. 1.1; arrêts du Tribunal fédéral 4A_367/2010 du 4 octobre 2010 consid. 1.1; 4A_127/2008 du 2 juin 2008 consid. 1.1; 4A_516/2007 du 6 mars 2008 consid. 1.1). 1.2 En l'espèce, le loyer annuel des locaux, charges comprises, fondé sur le chiffre d’affaires net de la locataire, s’est élevé en dernier lieu à près de 400'000 fr., de sorte que la valeur litigieuse est largement supérieure à 10'000 fr. 1.3 Les appels ont été interjetés dans le délai et suivant la forme prescrits par la loi (art. 130, 131, 311 al. 1 CPC). Ils sont ainsi recevables. Par économie de procédure, ils seront traités dans le même arrêt (cf. art. 125 CPC). 1.4 La Cour revoit la cause avec un plein pouvoir d'examen (art. 310 CPC; HOHL, Procédure civile, tome II, 2010, n. 2314 et 2416; RETORNAZ, op. cit., p. 349 ss, n. 121). 2. Bien qu’elle conclue à l’annulation du jugement entrepris et, cela fait, à l’annulation du « congé » donné par courriel le 3 avril 2014, la locataire ne motive pas cette conclusion.</w:t>
      </w:r>
    </w:p>
    <w:p>
      <w:r>
        <w:t>La Cour relèvera néanmoins, à l’instar des premiers juges, que le courriel dont il est question ne saurait être compris comme une résiliation de bail. Il s’agissait au contraire de la confirmation d’une intention de résiliation, déjà annoncée lors d’une entrevue deux jours auparavant.</w:t>
      </w:r>
    </w:p>
    <w:p>
      <w:r>
        <w:t>- 8/9 -</w:t>
      </w:r>
    </w:p>
    <w:p>
      <w:r>
        <w:t>C/8781/2014</w:t>
      </w:r>
    </w:p>
    <w:p>
      <w:r>
        <w:t>C’est toutefois à tort que les premiers juges en ont déduit l’irrecevabilité de la contestation de « congé » déposée par la locataire. Il convenait plutôt de constater que celle-ci était sans objet. Le jugement devra dès lors être rectifié sur ce point. Toutefois, en l'absence de recevabilité de cette conclusion, la Cour ne saurait modifier la décision entreprise sur ce point. 3. La locataire remet en question la validité du congé donné le 21 juillet 2014.</w:t>
      </w:r>
    </w:p>
    <w:p>
      <w:r>
        <w:t>Dans un premier moyen, elle relève que le congé est motivé par le souhait de la bailleresse d’exploiter elle-même les locaux en s’appropriant la clientèle fidélisée par elle au cours des vingt dernières années, et non pas de relouer les locaux à une entreprise tierce, d’un standing supérieur, comme l’ont retenu les premiers juges.</w:t>
      </w:r>
    </w:p>
    <w:p>
      <w:r>
        <w:t>La locataire fait ainsi grief au Tribunal d’avoir constaté les faits de manière inexacte et arbitraire. Les différents représentants de la bailleresse entendus par le Tribunal ont tous exposé le souhait de celle-ci de se spécialiser dans la vente de produits haut-de- gamme dans l’immeuble concerné, en relevant, sans être contredits par la locataire, l’arrivée récente de deux enseignes de standing. Aucun n’a cependant affirmé expressément que la bailleresse n’entendait pas reprendre elle-même l’exploitation des locaux litigieux. La bailleresse a pour sa part soutenu dans ses écritures qu’elle n’avait pas l’intention de reprendre les locaux en question pour les exploiter elle-même. Cette affirmation de la bailleresse est pourtant clairement contredite par le courriel que le directeur de la succursale genevoise de la bailleresse a adressé à la locataire le 3 avril 2014, dans lequel il indiquait, sous la plume de son assistante : « nous vous confirmons notre décision de reprendre la surface pour une gestion par D______ du module C______ du ______ de Genève ». Ce courriel, qui contredit à tout le moins partiellement la motivation avancée par la bailleresse, a été adressé à tous les principaux intervenants au sein de la bailleresse, sans qu’aucun d’eux ne vienne démentir le motif exposé. Les circonstances dans lesquelles celui-ci a été envoyé et reçu n'ont pas fait l'objet d'allégués des parties ni n'ont été instruites. Elles sont pourtant décisives. Il se justifie en conséquence de renvoyer la cause au Tribunal, pour instruction complémentaire sur ce point et nouvelle décision, en application de la maxime inquisitoire.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C/8781/2014 PAR CES MOTIFS, La Chambre des baux et loyers : A la forme : Déclare recevable les appels interjetés le 5 octobre 2015 par A______ d'une part, et B______ d'autre part, contre le jugement JTBL/964/2015 rendu le 1er septembre 2015 par le Tribunal des baux et loyers dans la cause C/8781/2014-9-OSB. Au fond : Annule ce jugement. Renvoie la cause au Tribunal des baux et loyers pour instruction complémentaire et nouvelle décision, au sens des considérants. Dit que la procédure est gratuite. Siégeant : Madame Nathalie LANDRY-BARTHE, présidente; Madame Sylvie DROIN et Monsieur Laurent RIEBEN,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