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ACJC/827/2015 vom 15. April 2015</w:t>
      </w:r>
    </w:p>
    <w:p>
      <w:r>
        <w:t>GE Cour de justice, 2015-04-15, FR</w:t>
      </w:r>
    </w:p>
    <w:p>
      <w:r>
        <w:rPr>
          <w:b/>
        </w:rPr>
        <w:t xml:space="preserve">Quelle: </w:t>
      </w:r>
      <w:r>
        <w:t>https://mcp.opencaselaw.ch/entscheid/ge_gerichte_ACJC_827_2015</w:t>
      </w:r>
    </w:p>
    <w:p>
      <w:r>
        <w:t>FR: GE_GERICHTE ACJC/827/2015 du 15 avril 2015</w:t>
      </w:r>
    </w:p>
    <w:p>
      <w:r>
        <w:t>IT: GE_GERICHTE ACJC/827/2015 del 15 aprile 2015</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en l'espèce.</w:t>
      </w:r>
    </w:p>
    <w:p>
      <w:r>
        <w:t>- 4/7 -</w:t>
      </w:r>
    </w:p>
    <w:p>
      <w:r>
        <w:t>C/25713/2014</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rPr>
          <w:b/>
        </w:rPr>
        <w:t>E. 3</w:t>
      </w:r>
    </w:p>
    <w:p>
      <w:r>
        <w:t>La recourante reproche au Tribunal d'avoir admis que l'intimée disposait d'une reconnaissance de dette, alors qu'il n'y avait pas eu d'usage de formule officielle, et que par conséquent le bail était "nul sous l'angle du loyer". Elle critique encore le raisonnement du premier juge relatif aux locataires de remplacement, en expliquant qu'elle a relevé que le bail n'avait pas été valablement résilié par la bailleresse pour la fin janvier 2014 puisqu'il n'avait pas été fait usage de la formule officielle, de sorte que les candidats n'avaient pas à se montrer d'accord avec une échéance à cette date.</w:t>
      </w:r>
    </w:p>
    <w:p>
      <w:r>
        <w:rPr>
          <w:b/>
        </w:rPr>
        <w:t>E. 3.1</w:t>
      </w:r>
    </w:p>
    <w:p>
      <w:r>
        <w:t>et les références citées; JAEGER/WALDER/ KULL/KOTTMANN,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23ss, p. 36).</w:t>
      </w:r>
    </w:p>
    <w:p>
      <w:r>
        <w:t>- 5/7 -</w:t>
      </w:r>
    </w:p>
    <w:p>
      <w:r>
        <w:t>C/25713/2014</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doit vérifier d'office les trois identités : l'identité du poursuivant et du créancier désigné dans la reconnaissance de dette; l'identité du poursuivi et du débiteur désigné dans la reconnaissance de dette et l'identité de la prétention déduite en poursuite et de la dette reconnue (GILLIERON, Commentaire de la loi fédérale sur la poursuite pour dettes et la faillite, 1999, n. 74 ad art. 82 LP).</w:t>
      </w:r>
    </w:p>
    <w:p>
      <w:r>
        <w:rPr>
          <w:b/>
        </w:rPr>
        <w:t>E. 3.2</w:t>
      </w:r>
    </w:p>
    <w:p>
      <w:r>
        <w:t>Lorsque la formule officielle prévue par l'art. 270 CO n'est pas employée pour un loyer initial alors qu'elle était obligatoire, ce vice n'entraîne pas la nullité du contrat de bail mais influe seulement sur le montant fixé, à savoir le montant du loyer convenu (ATF 137 III 548 consid. 2.3; 124 III 62 consid. 2a). La nullité peut être constatée en tout temps, sauf abus de droit, par exemple lorsque le locataire, une fois informé du vice, ne proteste pas contre la quotité du loyer dans un délai raisonnable et montre de la sorte considérer le loyer convenu comme non abusif (ATF 137 III 548 ibidem).</w:t>
      </w:r>
    </w:p>
    <w:p>
      <w:r>
        <w:t>En cas de nullité dans la fixation du loyer initial, il appartient au juge de fixer le montant du loyer admissible, en se fondant sur toutes les circonstances du cas (ATF 121 III 56 consid, 2c).</w:t>
      </w:r>
    </w:p>
    <w:p>
      <w:r>
        <w:t>Selon la jurisprudence vaudoise, lorsque la formule officielle est obligatoire lors de la conclusion du bail, le contrat de bail ne vaut pas à lui seul titre de mainlevée provisoire; le bailleur poursuivant doit y joindre la formule officielle (BRACONI, L'exécution forcée des créances pécuniaires et en prestation de sûretés en matière de bail, in 16ème séminaire sur le droit du bail, Neuchâtel, 2010, p. 131).</w:t>
      </w:r>
    </w:p>
    <w:p>
      <w:r>
        <w:rPr>
          <w:b/>
        </w:rPr>
        <w:t>E. 3.3</w:t>
      </w:r>
    </w:p>
    <w:p>
      <w:r>
        <w:t>En l'espèce, il est constant que le bail conclu entre les parties n'a pas été assorti d'une formule officielle, alors qu'il aurait dû l'être. La conséquence en est que le montant du loyer convenu est nul. Rien n'indique que la recourante aurait connu l'existence du vice avant que l'argument ne soit soulevé lors de la présente procédure; dès lors, il n'y a pas lieu de retenir l'existence d'un abus de droit.</w:t>
      </w:r>
    </w:p>
    <w:p>
      <w:r>
        <w:t>Certes, les parties ont été liées par contrat de bail, selon leurs stipulations du 19 juillet 2001 produites par l'intimée à l'appui de sa requête de mainlevée provisoire. Ce titre ne comporte, cependant, aucune indication pertinente sur la</w:t>
      </w:r>
    </w:p>
    <w:p>
      <w:r>
        <w:t>- 6/7 -</w:t>
      </w:r>
    </w:p>
    <w:p>
      <w:r>
        <w:t>C/25713/2014 quotité du loyer dû, le montant de 2'500 fr. mentionné dans le bail étant frappé de nullité. Ainsi, le montant de celui-ci n'est pas déterminable au vu des pièces produites par l'intimée, dans le cadre de la présente procédure sommaire.</w:t>
      </w:r>
    </w:p>
    <w:p>
      <w:r>
        <w:t>Dès lors, le premier juge a admis à tort que l'intimée disposait d'une reconnaissance de dette. Le recours est ainsi fondé, sans qu'il soit nécessaire d'examiner les autres griefs développés par la recourante, en particulier quant à la date de la fin des rapports contractuels entre les parties. La décision attaquée sera donc annulée, et l'intimée sera déboutée des fins de sa requête de mainlevée.</w:t>
      </w:r>
    </w:p>
    <w:p>
      <w:r>
        <w:rPr>
          <w:b/>
        </w:rPr>
        <w:t>E. 4</w:t>
      </w:r>
    </w:p>
    <w:p>
      <w:r>
        <w:t>L'intimée, qui succombe, supportera les frais de première instance, lesquels n'ont pas été remis en cause dans leur quotité et sont conformes aux dispositions légales applicables, ainsi que de recours. Ceux-ci seront arrêtés pour les deux instances à 750 fr. (art. 48, 61 OELP), couverts par les avances déjà opérées, acquises à l'Etat (art. 111 al. 1 CPC).</w:t>
      </w:r>
    </w:p>
    <w:p>
      <w:r>
        <w:t>L'intimée sera en conséquence condamnée à verser 450 fr. à ce titre à la recourante.</w:t>
      </w:r>
    </w:p>
    <w:p>
      <w:r>
        <w:t>L'intimée versera en outre 600 fr. à la recourante à titre de dépens des deux instances, débours et TVA compris (art. 84, 85, 88, 90 RTFMC; 25 et 26 LaCC). * * * * *</w:t>
      </w:r>
    </w:p>
    <w:p>
      <w:r>
        <w:t>- 7/7 -</w:t>
      </w:r>
    </w:p>
    <w:p>
      <w:r>
        <w:t>C/25713/2014 PAR CES MOTIFS, La Chambre civile : A la forme : Déclare recevable le recours formé le 27 avril 2015 par A______ contre le jugement JTPI/4381/2015 rendu le 15 avril 2015 par le Tribunal de première instance dans la cause C/25713/2014-JS SML. Au fond : Annule ce jugement, cela fait statuant à nouveau : Déboute B______ des fins de sa requête de mainlevée provisoire de l'opposition formée au commandement de payer poursuite n° 1______. Déboute les parties de toutes autres conclusions. Sur les frais de première instance et de recours : Arrête les frais judiciaires à 750 fr., couverts par les avances déjà opérées, acquises à l'Etat de Genève. Les met à la charge de B______. Condamne B______ à rembourser à A______ 450 fr. Condamne B______ à verser à A______ 600 fr. à titre de dépens. Siégeant : Madame Sylvie DROIN, présidente; Madame Nathalie LANDRY-BARTHE et Monsieur Ivo BUETTI, juges; Madame Céline FERREIRA, greffière. 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