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ACJC/825/2022 vom 17. Juni 2022</w:t>
      </w:r>
    </w:p>
    <w:p>
      <w:r>
        <w:t>GE Cour de justice, 2022-06-17, FR</w:t>
      </w:r>
    </w:p>
    <w:p>
      <w:r>
        <w:rPr>
          <w:b/>
        </w:rPr>
        <w:t xml:space="preserve">Quelle: </w:t>
      </w:r>
      <w:r>
        <w:t>https://mcp.opencaselaw.ch/entscheid/ge_gerichte_ACJC_825_2022</w:t>
      </w:r>
    </w:p>
    <w:p>
      <w:r>
        <w:t>FR: GE_GERICHTE ACJC/825/2022 du 17 juin 2022</w:t>
      </w:r>
    </w:p>
    <w:p>
      <w:r>
        <w:t>IT: GE_GERICHTE ACJC/825/2022 del 17 giugno 2022</w:t>
      </w:r>
    </w:p>
    <w:p>
      <w:pPr>
        <w:pStyle w:val="Heading2"/>
      </w:pPr>
      <w:r>
        <w:t>Erwägungen</w:t>
      </w:r>
    </w:p>
    <w:p>
      <w:r>
        <w:rPr>
          <w:b/>
        </w:rPr>
        <w:t>E. 1.1</w:t>
      </w:r>
    </w:p>
    <w:p>
      <w:r>
        <w:t>L'appel est recevable pour avoir été interjeté auprès de l'autorité compétente (art. 120 al. 1 let. a LOJ), dans le délai utile de 30 jours (art. 142 al. 1 et 3, 145 al. 1 let. c et 311 al. 1 CPC) et selon la forme prescrite par la loi (art. 130, 131 et 311 CPC), à l'encontre d'une décision finale (art. 308 al. 1 let. a CPC) qui porte sur des conclusions qui, capitalisées selon l'art. 92 al. 2 CPC, atteignent une somme supérieure à 10'000 fr.</w:t>
      </w:r>
    </w:p>
    <w:p>
      <w:r>
        <w:rPr>
          <w:b/>
        </w:rPr>
        <w:t>E. 1.2</w:t>
      </w:r>
    </w:p>
    <w:p>
      <w:r>
        <w:t>La Cour revoit la cause en fait et en droit avec un plein pouvoir d'examen (art. 310 CPC). L'action n'étant pas liée à une procédure matrimoniale, la procédure simplifiée s'applique (art. 295 CPC).</w:t>
      </w:r>
    </w:p>
    <w:p>
      <w:r>
        <w:rPr>
          <w:b/>
        </w:rPr>
        <w:t>E. 1.3</w:t>
      </w:r>
    </w:p>
    <w:p>
      <w:r>
        <w:t>Les maximes d'office et inquisitoire illimitée sont applicables aux questions concernant les enfants mineurs (art. 55 al. 2, 58 al. 2 et 296 CPC), ce qui a pour conséquence que la Cour n'est pas liée par les conclusions des parties (art. 296 al. 3 CPC), ni par l'interdiction de la reformatio in pejus (ATF 129 III 417 consid. 2.1.1; arrêt du Tribunal fédéral 5A_841/2018, 5A_843/2018 du 12 février 2020 consid. 5.2).</w:t>
      </w:r>
    </w:p>
    <w:p>
      <w:r>
        <w:rPr>
          <w:b/>
        </w:rPr>
        <w:t>E. 2</w:t>
      </w:r>
    </w:p>
    <w:p>
      <w:r>
        <w:t>Les parties ont déposé des pièces nouvelles en appel.</w:t>
      </w:r>
    </w:p>
    <w:p>
      <w:r>
        <w:rPr>
          <w:b/>
        </w:rPr>
        <w:t>E. 2.1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Par exception, lorsque le procès est soumis à la maxime inquisitoire illimitée, les parties peuvent présenter des nova en appel, même si les conditions de l'art. 317 al. 1 CPC ne sont pas réunies (ATF 144 III 349 consid. 4.2.1), et ce jusqu'à l'entrée en délibération de l'autorité d'appel, c'est-à-dire jusqu'à ce que l'autorité d'appel a communiqué aux parties que la cause a été gardée à juger (ATF 142 III</w:t>
      </w:r>
    </w:p>
    <w:p>
      <w:r>
        <w:t>- 7/13 -</w:t>
      </w:r>
    </w:p>
    <w:p>
      <w:r>
        <w:t>C/3597/2020 413 consid. 2.2.5-2.2.6; cf. arrêt du Tribunal fédéral 5A_290/2020 du 8 décembre 2020 consid. 3.3.5).</w:t>
      </w:r>
    </w:p>
    <w:p>
      <w:r>
        <w:rPr>
          <w:b/>
        </w:rPr>
        <w:t>E. 2.2</w:t>
      </w:r>
    </w:p>
    <w:p>
      <w:r>
        <w:t>En l'espèce, les pièces nouvelles produites par les parties relativement à leurs revenus et charges ainsi qu'à celles de l'enfant sont recevables dès lors qu'elles concernent la contribution à l'entretien de l'enfant mineur et ont été déposées avant que la Cour n'informe les parties que la cause était gardée à juger.</w:t>
      </w:r>
    </w:p>
    <w:p>
      <w:r>
        <w:rPr>
          <w:b/>
        </w:rPr>
        <w:t>E. 3</w:t>
      </w:r>
    </w:p>
    <w:p>
      <w:r>
        <w:t>L'appelant remet en cause le montant qu'il a été condamné à verser pour l'entretien de l'intimée, qu'il estime trop élevé.</w:t>
      </w:r>
    </w:p>
    <w:p>
      <w:r>
        <w:t>3.1.1 Selon l'art. 276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al. 1 CC prévoit que la contribution d'entretien doit correspondre aux besoins de l'enfant ainsi qu'à la situation et aux ressources de ses père et mère; il est tenu compte de la fortune et des revenus de l'enfant. 3.1.2 La fixation de la contribution d'entretien relève de l'appréciation du juge, qui jouit d'un large pouvoir en la matière et applique les règles du droit et de l'équité (art. 4 CC; arrêt du Tribunal fédéral 5A_61/2015 du 20 mai 2015 consid. 3.2.1.1 et les arrêts cités). Dans trois arrêts publiés récents (ATF 147 III 265, partiellement traduit in SJ 2021 I 316; 147 III 293 et 147 III 301), le Tribunal fédéral a posé, pour toute la Suisse, une méthode de calcul uniforme des contributions d'entretien du droit de la famille - soit la méthode du minimum vital avec répartition de l'excédent (dite en deux étapes) -, qu'il y a lieu d'appliquer de manière immédiate à toutes les affaires pendantes (ATF 142 V 551 consid. 4.1; arrêt du Tribunal fédéral 5A_931/2017 du 1er novembre 2018 consid. 3.1.3). Cette méthode implique de calculer dans un premier temps les moyens financiers à disposition, en prenant en considération tous les revenus du travail, de la fortune et les prestations de prévoyance, ainsi que le revenu hypothétique éventuel. Il faut inclure les prestations reçues en faveur de l'enfant, soit notamment les allocations familiales ou d'études (arrêt du Tribunal fédéral 5A_372/2016 du 18 novembre 2016 consid. 5.1.1). Ensuite, il s'agit de déterminer les besoins de l'enfant dont l'entretien est examiné, c'est-à-dire le montant de son entretien convenable. Celui- ci dépend des besoins concrets de l'enfant et des moyens disponibles. Les ressources à disposition sont réparties entre les différents membres de la famille, dans un ordre déterminé : il faut tout d'abord couvrir le minimum vital du droit des poursuites ou, si les moyens le permettent, le minimum vital du droit de la</w:t>
      </w:r>
    </w:p>
    <w:p>
      <w:r>
        <w:t>- 8/13 -</w:t>
      </w:r>
    </w:p>
    <w:p>
      <w:r>
        <w:t>C/3597/2020 famille de chaque partie. L'excédent doit en principe être réparti entre les parents et les enfants mineurs par "grandes têtes" et "petites têtes", la part d'un enfant correspondant à la moitié de celle d'un parent. L'éventuel excédent est ensuite réparti de manière équitable en fonction de la situation concrète, en tenant compte de toutes les circonstances entourant la prise en charge de l'enfant (ATF 147 III 265 précité consid. 7 et 7.1).</w:t>
      </w:r>
    </w:p>
    <w:p>
      <w:r>
        <w:t>Dans le calcul des besoins, le point de départ est le minimum vital du droit des poursuites, comprenant l'entretien de base selon les normes d'insaisissabilité (NI 2021, RS/GE E 3 60.04), auquel sont ajoutées les dépenses incompressibles, à savoir, pour l'enfant, les primes d'assurance-maladie obligatoire, les frais de formation, les frais médicaux non pris en charge par une assurance, une part des frais de logement du parent gardien et les frais de garde par des tiers (ATF 147 III 265 consid. 7.2). Dans la mesure où les ressources financières le permettent, l'entretien convenable doit être élargi au minimum vital du droit de la famille. Pour les parents, les postes suivants entrent généralement dans cette catégorie : les impôts, les forfaits de télécommunication, les assurances, les frais de formation continue indispensable, les frais de logement correspondant à la situation financière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les enfants, il peut être tenu compte, notamment, d'une part d'impôts et des primes d'assurance-maladie complémentaire. En revanche, sont exclus les autres postes tels que les voyages, les loisirs, etc., lesquels doivent être financés au moyen de l'excédent. Toutes les autres particularités du cas d'espèce doivent également être appréciées au moment de la répartition de l'excédent (ATF 147 III 265 consid. 7.2).</w:t>
      </w:r>
    </w:p>
    <w:p>
      <w:r>
        <w:t>Seules les charges effectives, dont le débirentier ou le crédirentier s'acquitte réellement doivent être prises en compte (ATF 140 III 337 consid. 4.2.3, arrêt du Tribunal fédéral 5A_405/2019 du 24 février 2020 consid. 5.2 et les références).</w:t>
      </w:r>
    </w:p>
    <w:p>
      <w:r>
        <w:t>3.1.3 Dans le cas de l’instauration d’une garde exclusive, le père ou la mère qui n’a pas la garde doit, en principe, assumer la totalité de l’entretien pécuniaire, sauf lorsque le parent exerçant la garde dispose de capacités financièrement manifestement plus importantes que l’autre parent (ATF 147 III 265 consid. 5.5; arrêt du Tribunal fédéral 5A_549/2019 du 18 mars 2021 consid. 3.4). Le minimum vital du droit des poursuites du parent débirentier doit dans tous les cas être préservé (ATF 147 III 265 consid. 7.4).</w:t>
      </w:r>
    </w:p>
    <w:p>
      <w:r>
        <w:t>3.2.1 En l'espèce, à juste titre, l'appelant ne conteste pas les charges de l'enfant telles qu'arrêtées par le Tribunal, hormis le fait qu'il n'a pas été tenu compte des</w:t>
      </w:r>
    </w:p>
    <w:p>
      <w:r>
        <w:t>- 9/13 -</w:t>
      </w:r>
    </w:p>
    <w:p>
      <w:r>
        <w:t>C/3597/2020 allocations familiales. Par conséquent, les frais effectifs de l'enfant doivent être arrêtés à 498 fr. comprenant, une participation de 20% au loyer de sa mère (314 fr., soit 20% de 1'570 fr.), la prime d'assurance-maladie de base, subside cantonal déduit (42 fr.), les frais médicaux non couverts (42 fr. 90) et l'entretien de base selon les normes OP (400 fr.) sous déduction des allocations familiales (300 fr.). 3.2.2 L'appelant ne critique pas d'avantage les revenus et les charges telles qu'arrêtés par le premier juge pour la mère de l'enfant, étant rappelé qu'aucune contribution de prise en charge de l'enfant n'a été réclamée. Il sera relevé que B______ débutera sa scolarité à la rentrée 2022 et que, de ce fait, sa mère pourra reprendre une activité à temps partiel. 3.2.3 Il n'est pas contesté en appel que l'appelant réalise un salaire mensuel net moyen de 4'409 fr. depuis le 1er juin 2021 et qu'il ne percevait pas de revenu régulier précédemment. Jusqu'au 31 décembre 2021, ses charges s'élevaient à 3'160 fr. comprenant le loyer dont il s'acquittait auprès de sa mère (700 fr.), la prime d'assurance-maladie de base (340 fr., soit 380 fr. – 40 fr.), les frais de transport (700 fr., non contestés), les frais de repas (200 fr.), un forfait communication (70 fr.), les acomptes d'impôts (300 fr.) et son entretien de base selon les normes OP (850 fr.). C'est à juste titre que le premier juge a retenu une somme de 10 fr. par repas pris hors du domicile par l'appelant, et non de 12 fr. comme ce dernier le plaide en appel, les dépenses pour les repas pris hors du domicile étant admissibles à hauteur de 9 fr. à 11 fr. par repas principal selon les lignes directrices pour le calcul du minimum vital du droit des poursuites selon l'art. 93 LP. En revanche, comme l'appelant dispose d'un solde disponible, il y a lieu de tenir compte de sa charge d'impôt et de ses frais de communication avant de partager son éventuel solde disponible. Les impôts ICC et IFD de l'appelant, estimés au moyen de la calculette disponible sur le site Internet de l'Administration fiscale genevoise, seront arrêtés à 300 fr. par mois. Cette estimation tient compte de son statut de célibataire, sans enfant à charge, de ses revenus tels qu'arrêtés ci-dessus, des déductions usuelles (frais professionnels, prime d'assurance-maladie) et de la contribution d'entretien fixée ci-après. Il disposait ainsi d'un solde mensuel de 1'249 fr. (4'409 fr. – 3'160 fr.). L'appelant a emménagé dans son propre appartement le 16 décembre 2021, son contrat de travail de durée indéterminée lui assurant la stabilité financière suffisante pour avoir son propre logement. A cet égard, la photo de boîte aux lettres produite par l'intimée ne prouve pas que l'appelant n'habiterait pas dans le logement qu'il vient de prendre à bail, cette photo datant d'avant son déménagement alors qu'il habitait encore avec sa mère. La courte période du 16 au 31 décembre 2021 a été intégrée dans le précédent calcul par simplification et dès lors que l'appelant disposait d'un solde mensuel. Depuis le 1er janvier 2022,</w:t>
      </w:r>
    </w:p>
    <w:p>
      <w:r>
        <w:t>- 10/13 -</w:t>
      </w:r>
    </w:p>
    <w:p>
      <w:r>
        <w:t>C/3597/2020 l'appelant a réduit ses frais de transports, mais sa prime d'assurance-maladie de base a augmenté en raison de son âge. Par conséquent, depuis le 1er janvier 2022, ses charges s'élèvent à 3'907 fr. comprenant, le loyer effectivement acquitté (1'675 fr.), la prime d'assurance-maladie de base (532 fr., soit 572 fr. – 40 fr.), les frais de transport (300 fr.), les frais de repas (200 fr.) et son entretien de base selon les normes OP (1'200 fr.). Il ne se justifie plus de prendre en compte ses charges élargies selon le droit de la famille, soit son forfait communication et ses acomptes d'impôts, faute de quoi les charges effectives de l'enfant ne pourraient plus être couvertes. L'appelant dispose ainsi d'un solde mensuel de 502 fr. (4'409 fr. – 3'907 fr.).</w:t>
      </w:r>
    </w:p>
    <w:p>
      <w:r>
        <w:rPr>
          <w:b/>
        </w:rPr>
        <w:t>E. 3.3</w:t>
      </w:r>
    </w:p>
    <w:p>
      <w:r>
        <w:t>Dès lors que la mère prodigue quotidiennement les soins à l'enfant qui vit auprès d'elle et que l'appelant n'exerce qu'un droit de visite, il se justifie que ce dernier contribue financièrement à l'intégralité des frais de sa fille, ce que ce dernier ne conteste pas. En effet, la situation financière de la mère n'est pas meilleure que celle de l'intimé. Du 1er juin au 31 décembre 2021, l'appelant disposait d'un solde mensuel de 1'249 fr. Après couverture des charges de l'enfant (498 fr.), le solde de l'appelant était de 751 fr. (1'249 fr. – 498 fr.), de sorte, que l'enfant pouvant participer à celui-ci à raison d'un cinquième, c'est une contribution d'entretien de 648 fr. (498 fr. + 1/5 de 751 fr.), arrondie à 650 fr., à laquelle l'enfant pouvait prétendre. Depuis le 1er janvier 2022, le minimum vital de l'appelant devant être préservé, celui-ci sera condamné à verser une contribution à l'entretien de l'enfant de 500 fr. par mois, ce qui permettra de couvrir la totalité de besoins de l'enfant. La contribution à l'entretien de l'enfant sera ainsi fixée, par mois et d'avance, allocations familiales non comprises, à 650 fr. du 1er juin au 31 décembre 2021, puis à 500 fr. par mois dès le 1er janvier 2022 jusqu'à la majorité de l'enfant, voire au-delà en cas de formation professionnelle ou d'études sérieuses et suivies. Il n'y a pas lieu de prévoir une augmentation de cette contribution dès lors que la capacité contributive de l'appelant est épuisée et qu'il n'est pas établi que les charges de l'enfant ou les revenus de l'appelant augmenteront à l'avenir. C'est ainsi un montant total de 5'550 fr. (650 fr. x 7 mois + 500 fr. x 2 mois) qui était dû par l'appelant au titre de contribution à l'entretien de sa fille du 1er juin 2021 au 28 février 2022. Durant cette période, il a versé une somme totale de 3'200 fr. (400 fr. x 7 + 300 fr. + 100 fr.). Il n'est pas prouvé que la somme qu'il a retirée de son compte en décembre ait été versée pour l'entretien de l'enfant. Par conséquent, l'appelant sera condamné à verser la somme de 2'350 fr. (5'550 fr. – 3'200 fr.) à titre de contribution à l'entretien de sa fille pour la période du 1er juin 2021 au 28 février 2022, puis 500 fr., par mois et d'avance, allocations familiales non comprises, dès le 1er mars 2022.</w:t>
      </w:r>
    </w:p>
    <w:p>
      <w:r>
        <w:t>- 11/13 -</w:t>
      </w:r>
    </w:p>
    <w:p>
      <w:r>
        <w:t>C/3597/2020 Le chiffre 3 du jugement sera annulé et il sera statué dans le sens de ce qui précède.</w:t>
      </w:r>
    </w:p>
    <w:p>
      <w:r>
        <w:rPr>
          <w:b/>
        </w:rPr>
        <w:t>E. 4.1</w:t>
      </w:r>
    </w:p>
    <w:p>
      <w:r>
        <w:t>Si l'instance d'appel statue à nouveau, elle se prononce sur les frais de la première instance (art. 318 al. 3 CPC). En l'espèce, ni la quotité ni la répartition des frais et dépens de première instance n'ont été valablement remises en cause en appel et ceux-ci ont été arrêtés conformément aux règles légales (art. 95, 96, 104 al. 1, 107 al. 1 let. c CPC; art. 30 RTFMC). Compte tenu de la nature familiale du litige, la modification du jugement attaqué ne justifie pas que la répartition des frais soit revue. Par conséquent, le jugement entrepris sera confirmé sur ce point.</w:t>
      </w:r>
    </w:p>
    <w:p>
      <w:r>
        <w:rPr>
          <w:b/>
        </w:rPr>
        <w:t>E. 4.2</w:t>
      </w:r>
    </w:p>
    <w:p>
      <w:r>
        <w:t>Les frais judiciaires de la procédure d’appel, y compris l'émolument de décision sur le retrait de l'effet suspensif, sont fixés à 800 fr. (art. 32 et 35 RTFMC). Compte tenu de la nature familiale du litige, ils seront répartis à parts égales entre les parties, soit 400 fr. à charge de chacune (art. 107 al. 1 let. c CPC). Les parties plaidant au bénéfice de l'assistance judiciaire-, leur part des frais sera provisoirement supportée par l'Etat de Genève (art. 122 al. 1 let. b, 123 al. 1 CPC et 19 RAJ). Compte tenu de la nature familiale du litige, chaque partie supportera ses propres dépens d'appel (art. 107 al. 1 let. c CPC). * * * * *</w:t>
      </w:r>
    </w:p>
    <w:p>
      <w:r>
        <w:t>- 12/13 -</w:t>
      </w:r>
    </w:p>
    <w:p>
      <w:r>
        <w:t>C/3597/2020 PAR CES MOTIFS, La Chambre civile : A la forme : Déclare recevable l'appel interjeté le 1er février 2022 par A______ contre le jugement JTPI/16028/2021 rendu le 21 décembre 2021 par le Tribunal de première instance dans la cause C/3597/2020. Au fond : Annule le chiffre 3 du dispositif du jugement attaqué et, statuant à nouveau sur ce point : Condamne A______ à verser la somme de 2'350 fr. en mains de C______ à titre de contribution pour l'entretien de l'enfant B______ pour la période du 1er juin 2021 au 28 février 2022. Condamne A______ à verser, par mois et d'avance, en mains de de C______, à titre de contribution pour l'entretien de l'enfant B______, 500 fr. dès le 1er mars 2022 jusqu'à la majorité de l'enfant, voire au-delà en cas d'études sérieuses et régulières suivies. Confirme le jugement contesté pour le surplus. Sur les frais : Arrête les frais judiciaires d'appel à 800 fr. et les met à la charge des parties pour moitié chacune. Dit que la somme de 400 fr. mise à la charge d'A______ est provisoirement supportée par l'Etat de Genève, sous réserve d'une décision de l'Assistance juridique. Dit que la somme de 400 fr. mise à la charge de la mineure B______ est provisoirement supportée par l'Etat de Genève, sous réserve d'une décision de l'Assistance juridique. Dit que chaque partie supporte ses propres dépens d'appel. Siégeant : Monsieur Laurent RIEBEN, président; Monsieur Patrick CHENAUX, Madame Fabienne GEISINGER-MARIETHOZ, juges; Madame Jessica ATHMOUNI, greffière.</w:t>
      </w:r>
    </w:p>
    <w:p>
      <w:r>
        <w:t>Indication des voies de recours :</w:t>
      </w:r>
    </w:p>
    <w:p>
      <w:r>
        <w:t>- 13/13 -</w:t>
      </w:r>
    </w:p>
    <w:p>
      <w:r>
        <w:t>C/3597/2020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