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ACJC/824/2022 vom 11. Januar 2022</w:t>
      </w:r>
    </w:p>
    <w:p>
      <w:r>
        <w:t>GE Cour de justice, 2022-01-11, FR</w:t>
      </w:r>
    </w:p>
    <w:p>
      <w:r>
        <w:rPr>
          <w:b/>
        </w:rPr>
        <w:t xml:space="preserve">Quelle: </w:t>
      </w:r>
      <w:r>
        <w:t>https://mcp.opencaselaw.ch/entscheid/ge_gerichte_ACJC_824_2022</w:t>
      </w:r>
    </w:p>
    <w:p>
      <w:r>
        <w:t>FR: GE_GERICHTE ACJC/824/2022 du 11 janvier 2022</w:t>
      </w:r>
    </w:p>
    <w:p>
      <w:r>
        <w:t>IT: GE_GERICHTE ACJC/824/2022 del 11 gennaio 2022</w:t>
      </w:r>
    </w:p>
    <w:p>
      <w:pPr>
        <w:pStyle w:val="Heading2"/>
      </w:pPr>
      <w:r>
        <w:t>Erwägungen</w:t>
      </w:r>
    </w:p>
    <w:p>
      <w:r>
        <w:rPr>
          <w:b/>
        </w:rPr>
        <w:t>E. 1.1</w:t>
      </w:r>
    </w:p>
    <w:p>
      <w:r>
        <w:t>S'agissant d'une procédure de mainlevée de l'opposition, seule la voie du recours est ouverte (art. 319 let. b et 309 let. b ch. 3 CPC). La procédure sommaire s'applique (art. 251 let. a CPC).</w:t>
      </w:r>
    </w:p>
    <w:p>
      <w:r>
        <w:rPr>
          <w:b/>
        </w:rPr>
        <w:t>E. 1.2</w:t>
      </w:r>
    </w:p>
    <w:p>
      <w:r>
        <w:t>Le recours, écrit et motivé, doit être introduit auprès de l'instance de recours dans les dix jours à compter de la notification de la décision motivée (art. 251 let. a et 321 al. 1 et 2 CPC). Déposé selon la forme et le délai prescrits, le recours est recevable.</w:t>
      </w:r>
    </w:p>
    <w:p>
      <w:r>
        <w:rPr>
          <w:b/>
        </w:rPr>
        <w:t>E. 1.3</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- 6/12 -</w:t>
      </w:r>
    </w:p>
    <w:p>
      <w:r>
        <w:t>C/12465/2021 Le recours étant instruit en procédure sommaire, la maxime des débats s'applique et la preuve des faits allégués doit être apportée par titre (art. 55 al. 1, 255 let. a a contrario et 254 CPC). Le principe de disposition est applicable (art. 58 al. 1 CPC).</w:t>
      </w:r>
    </w:p>
    <w:p>
      <w:r>
        <w:rPr>
          <w:b/>
        </w:rPr>
        <w:t>E. 2</w:t>
      </w:r>
    </w:p>
    <w:p>
      <w:r>
        <w:t>La recourante critique le Tribunal pour ne pas avoir retenu divers faits allégués par les parties en première instance. L'état de fait dressé ci-dessus a été ainsi complété dans la mesure pertinente et utile à la solution du litige.</w:t>
      </w:r>
    </w:p>
    <w:p>
      <w:r>
        <w:rPr>
          <w:b/>
        </w:rPr>
        <w:t>E. 3</w:t>
      </w:r>
    </w:p>
    <w:p>
      <w:r>
        <w:t>L'intimée, qui succombe, supportera les frais judiciaires de la procédure (art. 106 al. 1 CPC), arrêtés à 1'000 fr. (art. 48, 61 OELP), compensés avec les avances opérées, acquises à l'Etat de Genève (art. 111 al. 1 CPC). Elle remboursera 600 fr. à la recourante, qui en avait fait l'avance pour le recours.</w:t>
      </w:r>
    </w:p>
    <w:p>
      <w:r>
        <w:t>Elle lui versera en outre 2'000 fr. à titre de dépens de première instance et de recours (art. 84, 85, 89, 90 RTFMC). * * * * *</w:t>
      </w:r>
    </w:p>
    <w:p>
      <w:r>
        <w:t>- 11/12 -</w:t>
      </w:r>
    </w:p>
    <w:p>
      <w:r>
        <w:t>C/12465/2021 PAR CES MOTIFS, La Chambre civile : A la forme : Déclare recevable le recours formé le 24 janvier 2022 par A______ SÀRL contre le jugement JTPI/281/2022 rendu le 11 janvier 2022 par le Tribunal de première instance dans la cause C/12465/2021–13 SML. Au fond : Annule ce jugement. Statuant à nouveau: Déboute B______ LTD des fins de sa requête de mainlevée provisoire de l'opposition formée par A______ Sàrl au commandement de payer, poursuite n° 1______. Déboute les parties de toutes autres conclusions. Sur les frais de première instance et de recours : Arrête les frais judiciaires à 1'000 fr., compensés avec les avances effectuées, acquises à l'Etat de Genève, et les met à la charge de B______ LTD. Condamne B______ LTD à rembourser 600 fr. à A______ Sàrl. Condamne B______ LTD à verser à A______ Sàrl 2'000 fr. à titre de dépens. Siégeant : Madame Pauline ERARD, présidente; Madame Sylvie DROIN, Madame Nathalie LANDRY-BARTHE, juges; Madame Marie-Pierre GROSJEAN, greffière.</w:t>
      </w:r>
    </w:p>
    <w:p>
      <w:r>
        <w:t>La présidente : Pauline ERARD</w:t>
      </w:r>
    </w:p>
    <w:p>
      <w:r>
        <w:t>La greffière : Marie-Pierre GROSJEAN</w:t>
      </w:r>
    </w:p>
    <w:p>
      <w:r>
        <w:t>- 12/12 -</w:t>
      </w:r>
    </w:p>
    <w:p>
      <w:r>
        <w:t>C/12465/2021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3.1</w:t>
      </w:r>
    </w:p>
    <w:p>
      <w:r>
        <w:t>Selon l'art. 82 al. 1 LP, le créancier dont la poursuite se fonde sur une reconnaissance de dette constatée par acte authentique ou sous seing privé peut requérir la mainlevée provisoire. Le juge de la mainlevée provisoire doit vérifier d'office notamment l'existence matérielle d'une reconnaissance de dette (ATF 142 III 720 consid. 4.1 et la référence; 139 III 444 consid. 4.1.1, et les références; arrêts du Tribunal fédéral 5A_940/2020 du 27 janvier 2021 consid. 3.1; 5A_40/2013 du 29 octobre 2013 consid. 2.2), l'identité entre le poursuivant et le créancier désigné dans ce titre, l'identité entre le poursuivi et le débiteur désigné et l'identité entre la prétention déduite en poursuite et la dette reconnue (ATF 139 III 444 précité consid. 4.1.1 et les références; GILLIERON, Commentaire de la loi fédérale sur la poursuite pour dettes et la faillite, 1999, n. 73ss ad art. 82 LP).</w:t>
      </w:r>
    </w:p>
    <w:p>
      <w:r>
        <w:rPr>
          <w:b/>
        </w:rPr>
        <w:t>E. 3.2</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bilatéral ne vaut ainsi reconnaissance de dette que si le poursuivant a rempli ou garanti les obligations légales ou contractuelles exigibles avant le paiement dont il requiert le recouvrement, ou au moment de ce paiement (GILLIERON, op. cit., n. 45 ad art. 82 LP), c'est-à-dire s'il a exécuté ou offert d'exécuter sa propre prestation en rapport d'échange (ATF 116 III 72; arrêt du Tribunal fédéral 5A_1017/2017 du 12 septembre 2018 consid. 4.4.1). La question de la fourniture de la prestation du poursuivant ne constitue donc pas un moyen libératoire au sens de l'art. 82 al. 2 LP que le débiteur devrait rendre vraisemblable. Elle relève de la contestation d'une exigence mise à l'admission d'un contrat bilatéral parfait comme titre de mainlevée provisoire au</w:t>
      </w:r>
    </w:p>
    <w:p>
      <w:r>
        <w:t>- 7/12 -</w:t>
      </w:r>
    </w:p>
    <w:p>
      <w:r>
        <w:t>C/12465/2021 sens de l'art. 82 al. 1 LP (arrêt du Tribunal fédéral 5A_1017/2017 précité consid. 4.3.2 et 4.3.3).</w:t>
      </w:r>
    </w:p>
    <w:p>
      <w:r>
        <w:rPr>
          <w:b/>
        </w:rPr>
        <w:t>E. 3.3</w:t>
      </w:r>
    </w:p>
    <w:p>
      <w:r>
        <w:t>Le poursuivi peut faire échec à la mainlevée provisoire en rendant immédiatement vraisemblable sa libération (art. 82 al. 2 LP). Il peut se prévaloir de tous les moyens de droit civil - exceptions ou objections - qui infirment la reconnaissance de dette (ATF 145 III 20 consid. 4.1.2; 142 III 720 consid. 4.1 et la référence); il doit alors établir, au degré de la vraisemblance, le moyen libératoire (arrêts du Tribunal fédéral 5A_139/2018 précité consid. 2.6.1; 5A_833/2017 du 8 mars 2018 consid. 2.2 et les références). De simples affirmations ne sont pas suffisantes. Contrairement à la procédure de mainlevée définitive, dans la mainlevée provisoire, le débiteur n'a pas à apporter la preuve absolue (ou stricte) de ses moyens libératoires, mais doit seulement les rendre vraisemblables (ATF 132 III 140 consid. 4.1.2). Le juge n'a pas à être persuadé de l'existence des faits allégués; il doit, en se fondant sur des éléments objectifs, avoir l'impression qu'ils se sont produits, sans exclure pour autant la possibilité qu'ils se soient déroulés autrement. Le juge dispose d'un large pouvoir d'appréciation pour décider si un état de fait est vraisemblable ou non. Plus la reconnaissance de dette est claire plus la vraisemblance de la libération doit être accrue (VEUILLET, La mainlevée d'opposition, 2017, n. 107 ad art. 82 LP et les références citées).</w:t>
      </w:r>
    </w:p>
    <w:p>
      <w:r>
        <w:rPr>
          <w:b/>
        </w:rPr>
        <w:t>E. 3.4</w:t>
      </w:r>
    </w:p>
    <w:p>
      <w:r>
        <w:t>Selon la jurisprudence, la mainlevée provisoire fondée sur un contrat synallagmatique doit être prononcée si le débiteur qui fait valoir un défaut soumis à un avis ne rend pas vraisemblable qu'il a donné cet avis dans le délai (ATF 145 III 20, consid. 4.3.1; arrêts du Tribunal fédéral 5A_1008/2014 du 1er juin 2015 consid. 3.4.2; 5A_630/2010 et 631/2010 du 1er septembre 2011 consid. 2.2, publié in Pra 2012 no 32 p. 223 [vente]; 5A_19/2016 du 6 septembre 2016 consid. 2.6 [contrat d'entreprise]).</w:t>
      </w:r>
    </w:p>
    <w:p>
      <w:r>
        <w:rPr>
          <w:b/>
        </w:rPr>
        <w:t>E. 3.5</w:t>
      </w:r>
    </w:p>
    <w:p>
      <w:r>
        <w:t>Selon l'art. 205 al. 1 CO, dans les cas de garantie en raison des défauts de la chose, l'acheteur a le droit ou de faire résilier la vente en exerçant l'action rédhibitoire, ou de réclamer par l'action en réduction de prix une indemnité pour la moins-value.</w:t>
      </w:r>
    </w:p>
    <w:p>
      <w:r>
        <w:t>Les droits à la résolution et à la réduction sont des droit formateurs (VENTURI/ ZEN RUFFINEN, CR-CO, 2021, ad art. 205 n. 2).</w:t>
      </w:r>
    </w:p>
    <w:p>
      <w:r>
        <w:t>L'acteur est définitivement lié par le choix (valablement) exprimé, sa communication au vendeur épuisant son droit d'option (VENTURI/ ZEN RUFFINEN, op. cit. n. 5).</w:t>
      </w:r>
    </w:p>
    <w:p>
      <w:r>
        <w:t>- 8/12 -</w:t>
      </w:r>
    </w:p>
    <w:p>
      <w:r>
        <w:t>C/12465/2021</w:t>
      </w:r>
    </w:p>
    <w:p>
      <w:r>
        <w:t>Les parties sont libres, par convention, de revenir sur le choix de l'acheteur et de restaurer ainsi son droit d'option. Il est admis également que l'acheteur retrouve son droit d'option si le vendeur conteste, pour quelque motif que ce soit, l'existence du droit exercé par l'acheteur ou la validité de son exercice; il appartient au droit de procédure de déterminer jusqu'à quel moment l'acheteur peut exercer son ius variandi (ibidem).</w:t>
      </w:r>
    </w:p>
    <w:p>
      <w:r>
        <w:rPr>
          <w:b/>
        </w:rPr>
        <w:t>E. 3.6</w:t>
      </w:r>
    </w:p>
    <w:p>
      <w:r>
        <w:t>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(res judicata) quant à l'existence de la créance (ATF 140 III 48 consid. 3; 136 III 583 consid. 2.3; arrêt du Tribunal fédéral 5A_450/2019 du 24 février 2020 consid. 3.1).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 Le juge de la mainlevée n'a pas à trancher de délicates questions de droit matériel ou pour la solution desquelles le pouvoir d'appréciation joue un rôle important, la décision sur de telles questions étant réservée au juge du fond (Veuillet, op. cit., n. 106 ad art. 84 LP).</w:t>
      </w:r>
    </w:p>
    <w:p>
      <w:r>
        <w:rPr>
          <w:b/>
        </w:rPr>
        <w:t>E. 3.7</w:t>
      </w:r>
    </w:p>
    <w:p>
      <w:r>
        <w:t>En l'espèce, il est constant que les parties se sont liées par un contrat de vente, que la moitié du prix a été acquittée par la recourante et que la marchandise a été livrée. Après la prise de possession de la marchandise, la recourante a formulé un avis des défauts, le 20 janvier 2021, en relation avec l'étiquetage et la qualité de la marchandise livrée, dans un délai conforme au contrat, ce qui n'est pas contesté.</w:t>
      </w:r>
    </w:p>
    <w:p>
      <w:r>
        <w:t>- 9/12 -</w:t>
      </w:r>
    </w:p>
    <w:p>
      <w:r>
        <w:t>C/12465/2021</w:t>
      </w:r>
    </w:p>
    <w:p>
      <w:r>
        <w:t>Elle a joint à son avis des défauts des photographies d'un voire plusieurs cartons sur quoi il apparaît qu'ont été apposées deux couches d'étiquettes, celle du niveau supérieur recouvrant l'étiquette du niveau inférieur; dans son courrier de protestation du 20 janvier 2021, elle a annoncé en tirer le soupçon que de la marchandise erronée aurait été livrée, ou que de la marchandise aurait été mélangée avec une commande qui n'émanerait pas d'elle-même. Dans sa réponse de première instance, elle a soutenu qu'il en découlait un problème de traçabilité, puis dans sa réplique que de ce fait la valeur de la marchandise était considérablement réduite "du point de vue de l'acheteur potentiel". L'intimée n'a pas contesté qu'il y ait eu une erreur d'étiquetage, mais a assuré que l'étiquette supérieure, apposée par ses soins avant expédition, correspondait au contenu du lot. Dans son écriture de recours, la recourante répète que l'étiquetage erroné empêcherait l'identification et la traçabilité des produits.</w:t>
      </w:r>
    </w:p>
    <w:p>
      <w:r>
        <w:t>Les photographies versées ne rendent pas cette thèse vraisemblable, puisqu'elles se limitent à révéler qu'il y a, sur un ou des cartons, une étiquette supérieure qui recouvre une étiquette inférieure (partiellement décollée au niveau du coin inférieur droit), ce qui n'est pas, en soi, au stade de la vraisemblance, constitutif de l'empêchement d'identification ou de traçabilité invoqué.</w:t>
      </w:r>
    </w:p>
    <w:p>
      <w:r>
        <w:t>En ce qui concerne le défaut lié à la présence de pesticide, le rapport produit par la recourante, rend son existence vraisemblable. Peu importe, dans le cadre de la procédure de mainlevée, l'argumentation de l'intimée, qui se fonde sur des rapports d'analyse ne portant pas sur la marchandise livrée, ou sur le fait que toute contamination dans son propre entrepôt ne serait pas probable. Par ailleurs, sa thèse fondée sur une lecture des dispositions du contrat ayant lié les parties, selon laquelle le délai de paiement du solde du prix inférieur à celui du délai de notification de défauts éventuels rendrait le premier de ces délais inconditionnel, excède le cadre de la procédure de mainlevée, dans la mesure où elle suppose une interprétation du contrat.</w:t>
      </w:r>
    </w:p>
    <w:p>
      <w:r>
        <w:t>Cela étant, le 26 février 2021, au vu des défauts constatés, la recourante a déclaré la résolution du contrat la liant à l'intimée, et a réclamé le remboursement du montant versé en 40'350 euros; cela a, au demeurant, été accepté le 1er mars 2021 par l'intimée (qui a offert ledit remboursement du prix et la reprise de la marchandise). La recourante a donc exercé son droit formateur à la résolution du contrat; par voie de conséquence, dès cet instant, l'intimée, qui en a à tout le moins pris acte, ne disposait plus d'une créance contractuelle en paiement du solde du prix de vente. Il en découle à ce stade, que le contrat du 3 novembre 2020 - invoqué dans le commandement de payer frappé de l'opposition dont la mainlevée est requise</w:t>
      </w:r>
    </w:p>
    <w:p>
      <w:r>
        <w:t>- 10/12 -</w:t>
      </w:r>
    </w:p>
    <w:p>
      <w:r>
        <w:t>C/12465/2021 dans la présente procédure - ne représentait plus un titre de mainlevée au sens de l'art. 82 LP. Certes, les parties évoquent encore leurs diverses manifestations de volonté postérieures à l'exercice par la recourante du droit de résolution du contrat.</w:t>
      </w:r>
    </w:p>
    <w:p>
      <w:r>
        <w:t>Pour revenir sur ce droit formateur, et restaurer le droit d'option de la recourante en faveur d'une réduction du prix, une convention conclue entre les parties était nécessaire, ou alors une contestation par l'intimée de l'existence du droit exercé par la recourante ou de la validité de l'exercice de celui-ci.</w:t>
      </w:r>
    </w:p>
    <w:p>
      <w:r>
        <w:t>Déterminer, en l'occurrence, si les échanges entre les parties intervenus postérieurement au 1er mars 2021, dont la portée est disputée par les parties, réalisent l'une des conditions précitées, excède le pouvoir d'examen du juge de la mainlevée. Ainsi, le fait que la recourante serait revenue de façon valable sur la résolution du contrat n'est pas acquis. Il n'y a ainsi pas à examiner davantage les théories respectives des parties sur le mérite de la créance, tirée de l'action en réduction du prix, opposée en compensation par la recourante.</w:t>
      </w:r>
    </w:p>
    <w:p>
      <w:r>
        <w:t>En définitive, au vu de ce qui précède, la requête de mainlevée d'opposition au commandement de payer formée par l'intimée sur la base du contrat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