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ACJC/823/2024 vom 19. Februar 2024</w:t>
      </w:r>
    </w:p>
    <w:p>
      <w:r>
        <w:t>GE Cour de justice, 2024-02-19, FR</w:t>
      </w:r>
    </w:p>
    <w:p>
      <w:r>
        <w:rPr>
          <w:b/>
        </w:rPr>
        <w:t xml:space="preserve">Quelle: </w:t>
      </w:r>
      <w:r>
        <w:t>https://mcp.opencaselaw.ch/entscheid/ge_gerichte_ACJC_823_2024</w:t>
      </w:r>
    </w:p>
    <w:p>
      <w:r>
        <w:t>FR: GE_GERICHTE ACJC/823/2024 du 19 février 2024</w:t>
      </w:r>
    </w:p>
    <w:p>
      <w:r>
        <w:t>IT: GE_GERICHTE ACJC/823/2024 del 19 febbraio 2024</w:t>
      </w:r>
    </w:p>
    <w:p>
      <w:pPr>
        <w:pStyle w:val="Heading2"/>
      </w:pPr>
      <w:r>
        <w:t>Erwägungen</w:t>
      </w:r>
    </w:p>
    <w:p>
      <w:r>
        <w:rPr>
          <w:b/>
        </w:rPr>
        <w:t>E. 1</w:t>
      </w:r>
    </w:p>
    <w:p>
      <w:r>
        <w:t>La requête de rectification, formée en temps utile et selon la forme prévue par la loi, est recevable.</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w:t>
      </w:r>
    </w:p>
    <w:p>
      <w:r>
        <w:t>Les art. 330 et 331 CPC sont applicables par analogie. En cas d'erreur d'écriture ou de calcul, le tribunal peut renoncer à demander aux parties de se déterminer (art. 334 al. 2 CPC).</w:t>
      </w:r>
    </w:p>
    <w:p>
      <w:r>
        <w:t>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n.p in ATF 142 III 695).</w:t>
      </w:r>
    </w:p>
    <w:p>
      <w:r>
        <w:t>Une requête d’interprétation ou de rectification ne peut jamais tendre à une modification matérielle de la décision concernée; pour cela, seule la voie du recours ordinaire est ouverte. En particulier,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arrêt du Tribunal fédéral 5A_149/2015 du 5 juin 2015 consid. 3.1).</w:t>
      </w:r>
    </w:p>
    <w:p>
      <w:r>
        <w:t>- 5/6 -</w:t>
      </w:r>
    </w:p>
    <w:p>
      <w:r>
        <w:t>C/20939/2023</w:t>
      </w:r>
    </w:p>
    <w:p>
      <w:r>
        <w:rPr>
          <w:b/>
        </w:rPr>
        <w:t>E. 2.2</w:t>
      </w:r>
    </w:p>
    <w:p>
      <w:r>
        <w:t>En l'espèce, il n'y a pas de contradiction entre le considérant 9.7.2 de l'arrêt litigieux et le dispositif de celui-ci. En effet, dans le considérant précité, la Cour procède à une analyse du passage mentionné dans le dispositif, pour arriver à la conclusion que ledit passage cause une atteinte à la personnalité du cité.</w:t>
      </w:r>
    </w:p>
    <w:p>
      <w:r>
        <w:t>S'il est exact que, comme le relèvent les requérants, le passage précité ne figure plus dans la version actuellement en ligne de l'article du ______ octobre 2023, puisqu'il a été modifié en cours de procédure, il n'est pas possible de supprimer le paragraphe 4 du dispositif de l'arrêt du 3 mai 2024 car cela reviendrait à modifier matériellement la décision en question, ce qui n'est pas admissible dans le cadre d'une demande de rectification. Pour les mêmes motifs, il n'est pas non plus possible de compléter le paragraphe précité dans le sens souhaité par le cité.</w:t>
      </w:r>
    </w:p>
    <w:p>
      <w:r>
        <w:t>La requête de rectification sera dès lors rejetée en tant qu'elle vise le paragraphe 4 du dispositif au fond de l'arrêt litigieux.</w:t>
      </w:r>
    </w:p>
    <w:p>
      <w:r>
        <w:t>Par ailleurs, les considérants de l'arrêt du 3 mai 2024 relatifs aux frais et dépens n'indiquent pas que C______ est dispensée de supporter une partie des frais et dépens liés à la procédure. Il n'y a dès lors pas de contradiction à cet égard entre les considérants et le dispositif, contrairement à ce que font valoir les requérants.</w:t>
      </w:r>
    </w:p>
    <w:p>
      <w:r>
        <w:t>Par contre, le considérant 11.1 de l'arrêt dispose que les requérants doivent prendre en charge 425 fr. au titre des frais judiciaires de première instance. Ceux- ci ayant versé 500 fr. d'avance, ledit considérant précise que le cité doit leur verser 75 fr. (5'00 fr. – 425 fr.) Or, le dispositif indique par erreur que le cité doit verser 425 fr. aux requérants, au lieu de 75 fr. Il s'agit là d'une erreur d'écriture qui sera rectifiée d'office, conformément à l'art. 334 al. 2 CPC.</w:t>
      </w:r>
    </w:p>
    <w:p>
      <w:r>
        <w:rPr>
          <w:b/>
        </w:rPr>
        <w:t>E. 3</w:t>
      </w:r>
    </w:p>
    <w:p>
      <w:r>
        <w:t>Les parties font valoir à juste titre que le dispositif de l'arrêt du 3 mai 2024 est incomplet en ce sens que la Cour a omis de statuer sur la conclusion du cité tendant à ce qu'un délai pour valider les mesures provisionnelles lui soit imparti. Elles concluent toutes deux à ce qu'un délai soit imparti au cité pour agir au fond.</w:t>
      </w:r>
    </w:p>
    <w:p>
      <w:r>
        <w:t>Un délai d'un mois dès la notification du présent arrêt sera dès lors imparti à D______ pour ce faire.</w:t>
      </w:r>
    </w:p>
    <w:p>
      <w:r>
        <w:rPr>
          <w:b/>
        </w:rPr>
        <w:t>E. 4</w:t>
      </w:r>
    </w:p>
    <w:p>
      <w:r>
        <w:t>Il ne sera pas perçu de frais judiciaires sur rectification ni alloué de dépens, étant précisé que les parties n'en ont pas sollicité. * * * *</w:t>
      </w:r>
    </w:p>
    <w:p>
      <w:r>
        <w:t>- 6/6 -</w:t>
      </w:r>
    </w:p>
    <w:p>
      <w:r>
        <w:t>C/20939/2023 PAR CES MOTIFS, La Chambre civile : A la forme : Déclare recevable la requête en rectification formée par A______ SA, B______ et C______ contre l'arrêt ACJC/587/2024 rendu le 3 mai 2024 par la Cour de justice dans la cause C/20939/2023. Au fond : Rectifie le dispositif de l'arrêt précité en ce sens que D______ est condamné à verser à A______ SA, B______ et C______, pris conjointement et solidairement, 75 fr. – et non 425 fr. – à titre de frais judiciaires de première instance. Impartit à D______ un délai de 30 jours, à compter de la réception du présent arrêt, pour valider les mesures provisionnelles par le dépôt d'une action au fond, sous peine de caducité desdites mesures. Rejette la requête de rectification pour le surplus. Sur les frais : Dit qu'il n'est pas perçu de frais judiciaires de rectification ni alloué de dépens.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