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ACJC/823/2020 vom 15. Juni 2020</w:t>
      </w:r>
    </w:p>
    <w:p>
      <w:r>
        <w:t>GE Cour de justice, 2020-06-15, FR</w:t>
      </w:r>
    </w:p>
    <w:p>
      <w:r>
        <w:rPr>
          <w:b/>
        </w:rPr>
        <w:t xml:space="preserve">Quelle: </w:t>
      </w:r>
      <w:r>
        <w:t>https://mcp.opencaselaw.ch/entscheid/ge_gerichte_ACJC_823_2020</w:t>
      </w:r>
    </w:p>
    <w:p>
      <w:r>
        <w:t>FR: GE_GERICHTE ACJC/823/2020 du 15 juin 2020</w:t>
      </w:r>
    </w:p>
    <w:p>
      <w:r>
        <w:t>IT: GE_GERICHTE ACJC/823/2020 del 15 giugno 2020</w:t>
      </w:r>
    </w:p>
    <w:p>
      <w:pPr>
        <w:pStyle w:val="Heading2"/>
      </w:pPr>
      <w:r>
        <w:t>Volltext</w:t>
      </w:r>
    </w:p>
    <w:p>
      <w:r>
        <w:t>Le présent arrêt est communiqué aux parties, ainsi qu'à l'Office des faillites, à l'Office des poursuites, au Registre du commerce et au Registre foncier, par plis recommandés du 24.06.2020.</w:t>
      </w:r>
    </w:p>
    <w:p>
      <w:r>
        <w:t>RÉPUBLIQUE ET</w:t>
      </w:r>
    </w:p>
    <w:p>
      <w:r>
        <w:t>CANTON DE GENÈVE POUVOIR JUDICIAIRE C/732/2020</w:t>
      </w:r>
    </w:p>
    <w:p>
      <w:r>
        <w:t>ACJC/823/2020 ARRÊT DE LA COUR DE JUSTICE Chambre civile DU LUNDI 15 JUIN 2020</w:t>
      </w:r>
    </w:p>
    <w:p>
      <w:r>
        <w:t>Entre Monsieur A______, domicilié c/o M. B______, ______, recourant contre un jugement rendu par la 5ème Chambre du Tribunal de première instance de ce canton le 27 février 2020, comparant en personne, et C______ SA, sise ______, intimée, comparant en personne.</w:t>
      </w:r>
    </w:p>
    <w:p>
      <w:r>
        <w:t>- 2/4 -</w:t>
      </w:r>
    </w:p>
    <w:p>
      <w:r>
        <w:t>C/732/2020 Vu le jugement JTPI/3095/2020 rendu le 27 février 2020 par le Tribunal de première instance dans la cause C/732/2020-5 SFC, prononçant la faillite de A______; Vu le recours formé le 12 mars 2020 par A______, aux termes duquel celui-ci a allégué être solvable; Vu la décision de la Cour de justice du 12 mars 2020 accordant la suspension de l'effet exécutoire attaché au jugement entrepris et des effets juridiques de l'ouverture de la faillite; Vu les ordonnances de la Cour des 12 mars 2020 et 6 mai 2020 adressées par courriers recommandés à la partie recourante, tous deux non réclamés à l'issue du délai de garde à la poste expirant, respectivement, les 20 mars 2020 et 14 mai 2020 et réexpédiés à la partie recourante par courriers simples les 25 mars 2020 et 19 mai 2020, lui impartissant un délai de 10 jours pour déposer la quittance pour solde de l'Office cantonal des poursuites attestant du paiement de la poursuite no 1______, intérêts, frais et frais du Tribunal compris, ou la lettre de retrait de la requête de faillite; Attendu, EN FAIT, qu'aucun document n'a été produit dans le délai imparti;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ou du retrait de la requête de faillite, et rendant vraisemblable sa solvabilité; Que les conditions posées par l'art. 174 al. 2 LP font ainsi défaut; Que le recours est dès lors manifestement infondé, de sorte qu'il sera rejeté d'entrée de cause et sans débats (art. 322 al. 1 in fine CPC);</w:t>
      </w:r>
    </w:p>
    <w:p>
      <w:r>
        <w:t>- 3/4 -</w:t>
      </w:r>
    </w:p>
    <w:p>
      <w:r>
        <w:t>C/732/2020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C/732/2020 PAR CES MOTIFS, La Chambre civile : A la forme : Déclare recevable le recours formé le 12 mars 2020 par A______ contre le jugement JTPI/3095/2020 rendu le 27 février 2020 par le Tribunal de première instance dans la cause C/732/2020-5 SFC. Au fond : Rejette ce recours. Confirme le jugement querellé, la faillite de A______ prenant effet le 15 juin 2020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