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ACJC/822/2023 vom 12. Mai 2020</w:t>
      </w:r>
    </w:p>
    <w:p>
      <w:r>
        <w:t>GE Cour de justice, 2020-05-12, FR</w:t>
      </w:r>
    </w:p>
    <w:p>
      <w:r>
        <w:rPr>
          <w:b/>
        </w:rPr>
        <w:t xml:space="preserve">Quelle: </w:t>
      </w:r>
      <w:r>
        <w:t>https://mcp.opencaselaw.ch/entscheid/ge_gerichte_ACJC_822_2023</w:t>
      </w:r>
    </w:p>
    <w:p>
      <w:r>
        <w:t>FR: GE_GERICHTE ACJC/822/2023 du 12 mai 2020</w:t>
      </w:r>
    </w:p>
    <w:p>
      <w:r>
        <w:t>IT: GE_GERICHTE ACJC/822/2023 del 12 maggio 2020</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 Déposé selon la forme et le délai prescrits, le recours du 16 mars 2023 est recevable.</w:t>
      </w:r>
    </w:p>
    <w:p>
      <w:r>
        <w:rPr>
          <w:b/>
        </w:rPr>
        <w:t>E. 1.3</w:t>
      </w:r>
    </w:p>
    <w:p>
      <w:r>
        <w:t>Les allégations et preuves nouvelles des parties ne sont pas recevables dans le cadre d'un recours (art. 326 al. 1 CPC). Les faits nouveaux allégués par les parties et les pièces nouvelles produites sont donc irrecevables et la Cour examinera la cause sur la base du dossier dont disposait le Tribunal.</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2010, n. 2307).</w:t>
      </w:r>
    </w:p>
    <w:p>
      <w:r>
        <w:t>- 4/7 -</w:t>
      </w:r>
    </w:p>
    <w:p>
      <w:r>
        <w:t>C/21516/2022 Le recours étant instruit en procédure sommaire, la preuve des faits allégués doit être apportée par titres (art. 254 CPC). Les maximes des débats et de disposition s'appliquent (art. 55 al. 1, 255 a contrario et art. 58 al. 1 CPC).</w:t>
      </w:r>
    </w:p>
    <w:p>
      <w:r>
        <w:rPr>
          <w:b/>
        </w:rPr>
        <w:t>E. 2</w:t>
      </w:r>
    </w:p>
    <w:p>
      <w:r>
        <w:t>Le recourant invoque que l'intimée n'a produit aucun document attestant du caractère définitif et exécutoire de l'arrêt de la Cour du 12 mai 2020. En outre, le commandement de payer ne contenait aucune indication sur la nature de la créance et le montant réclamé n'était pas détaillé; il avait été placé dans une situation l'empêchant de comprendre la nature du montant réclamé.</w:t>
      </w:r>
    </w:p>
    <w:p>
      <w:r>
        <w:rPr>
          <w:b/>
        </w:rPr>
        <w:t>E. 2.1.1</w:t>
      </w:r>
    </w:p>
    <w:p>
      <w:r>
        <w:t>Aux termes de l'art. 80 al. 1 LP, le créancier qui est au bénéfice d'un jugement exécutoire peut requérir du juge la mainlevée définitive de l'opposition. 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Il ne prononcera pas la mainlevée, notamment, s'il y a absence manifeste d'identité entre la créance et le titre. Ainsi, si le montant est dû en vertu d'un autre titre que celui indiqué dans le commandement de payer, la mainlevée doit être rejetée (arrêt du Tribunal fédéral 5A_1023/2018 du 8 juillet 2019 consid. 6.2.4.2 et les références).</w:t>
      </w:r>
    </w:p>
    <w:p>
      <w:r>
        <w:rPr>
          <w:b/>
        </w:rPr>
        <w:t>E. 2.1.2</w:t>
      </w:r>
    </w:p>
    <w:p>
      <w:r>
        <w:t>Le commandement de payer doit contenir les indications prescrites par la loi. A teneur des art. 69 al. 2 ch. 1 et 67 al. 1 ch. 4 LP, il s'agit, entre autres indications, du titre, soit par exemple un jugement ou un contrat, et de la date de la créance ou, à défaut, de la cause de l'obligation, soit la source de l'obligation (arrêt 5A_169/2009 du 3 novembre 2009 consid. 2.1). Si la cause de l'obligation indiquée dans le commandement de payer correspond à celle résultant de la décision à exécuter, la mainlevée doit être accordée même si le commandement de payer ne mentionne pas ce titre de la créance (arrêt du Tribunal fédéral 5A_1023/2018 du 8 juillet 2019 consid. 6.2.4.1 et les références). L'une des fonctions des indications contenues dans le commandement de payer est de répondre à un besoin de clarté et d'individualiser la prétention réclamée par voie d'exécution afin que le poursuivi puisse prendre position (ATF 141 III 173 consid. 2.2.2 et les références).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Lorsque la cause de la créance est reconnaissable pour le poursuivi en raison de</w:t>
      </w:r>
    </w:p>
    <w:p>
      <w:r>
        <w:t>- 5/7 -</w:t>
      </w:r>
    </w:p>
    <w:p>
      <w:r>
        <w:t>C/21516/2022 l'ensemble de rapports étroits qu'il connaît, il suffit que la cause de la créance soit exprimée succinctement en vertu du principe de la bonne foi, qui doit aussi être observé dans le droit de l'exécution forcée (ATF 121 III 18 consid. 2a et b; arrêt du Tribunal fédéral 5A_1023/2018 précité consid. 6.2.4.1 et les références).</w:t>
      </w:r>
    </w:p>
    <w:p>
      <w:r>
        <w:rPr>
          <w:b/>
        </w:rPr>
        <w:t>E. 2.1.3</w:t>
      </w:r>
    </w:p>
    <w:p>
      <w:r>
        <w:t>Lorsque la poursuite tend au recouvrement de prestations périodiques (contributions d'entretien, salaires, loyers, etc.), la jurisprudence exige que la réquisition de poursuite indique avec précision les périodes pour lesquelles ces prestations sont réclamées; même si elles dérivent d'une même cause juridique ("Rechtsgrund"), elles ne sont pas moins des créances distinctes, soumises à leur propre sort (ATF 141 III 173 consid. 2.2.2; arrêt du Tribunal fédéral 5A_861/2013 précité consid. 2.3). A défaut, la requête de mainlevée doit être rejetée (ABBET, in La mainlevée de l'opposition, 2ème éd., 2022, n. 25 ad art. 80 LP).</w:t>
      </w:r>
    </w:p>
    <w:p>
      <w:r>
        <w:rPr>
          <w:b/>
        </w:rPr>
        <w:t>E. 2.1.4</w:t>
      </w:r>
    </w:p>
    <w:p>
      <w:r>
        <w:t>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prononcé de mainlevée ne produit que des effets de droit des poursuites et ne fonde pas l'exception de chose jugée (res iudicata) quant à l'existence de la créance (ATF 143 III 564 consid. 4.1; 136 III 583 consid. 2.3 et les références; arrêts du Tribunal fédéral 5A_595/2021 du 14 janvier 2022, consid. 6.1; 5A_1015/2020 du 30 août 2021, consid. 3.1). La décision du juge de la mainlevée provisoire ne prive pas les parties du droit de soumettre à nouveau la question litigieuse au juge ordinaire (art. 79 et 83 al. 2 LP; ATF 136 III 528 consid. 3.2; arrêt 5A_873/2021 du 4 mars 2022, consid. 5.2).</w:t>
      </w:r>
    </w:p>
    <w:p>
      <w:r>
        <w:rPr>
          <w:b/>
        </w:rPr>
        <w:t>E. 2.2</w:t>
      </w:r>
    </w:p>
    <w:p>
      <w:r>
        <w:t>En l'espèce, concernant d'abord le caractère définitif et exécutoire de l'arrêt de la Cour du 12 mai 2020, le recourant ne soutient pas que l'une ou l'autre partie l'aurait contesté devant le Tribunal fédéral. Il doit dès lors être considéré qu'il constitue un titre de mainlevée définitive. Quant aux indications figurant dans le commandement de payer, il convient de relever ce qui suit. Ce dernier mentionne le titre sur lequel l'intimée fonde sa poursuite, à savoir un jugement du Tribunal du 28 juin 2019 et un arrêt de la Cour de justice du 12 mai 2020. Ces décisions comportent toutefois plusieurs points et aucun ne mentionne la somme de 6'500 fr. réclamée. Il ressort des explications de l'intimée devant le Tribunal que ce montant correspond à des allocations familiales qui n'auraient pas été versées, ce que le commandement de payer ne mentionne pas ni, a fortiori, les mois pour lesquels lesdites allocations n'auraient pas été versées. Le Tribunal a considéré à cet égard, à juste titre, que l'intimée n'avait pas fourni d'explication sur la manière dont le montant de 6'500 fr. avait été calculé. La mainlevée de l'opposition ne pouvait donc être prononcée pour ce montant d'allocations familiales.</w:t>
      </w:r>
    </w:p>
    <w:p>
      <w:r>
        <w:t>- 6/7 -</w:t>
      </w:r>
    </w:p>
    <w:p>
      <w:r>
        <w:t>C/21516/2022 Ensuite, le Tribunal a accordé la mainlevée pour le montant 2'464 fr. 92 correspondant à la moitié des frais d'orthodontie pour la période du 12 juin 2020 au 12 mai 2021. Il ressort toutefois des explications de l'intimée devant le Tribunal que ce montant devait s'additionner à celui de 6'500 fr. indiqué dans le commandement de payer et qu'il n'était pas compris dedans. Le Tribunal ne pouvait dès lors pas accorder la mainlevée définitive de l'opposition pour un montant pour lequel le recourant n'avait pas été poursuivi. Au vu de ce qui précède, les indications mentionnées dans le commandement de payer ne permettent pas de savoir pour quelle prétention découlant des décisions judiciaires mentionnées l'intimée entend poursuivre le recourant. C'est donc à tort que le Tribunal a prononcé la mainlevée de l'opposition pour le montant de 2'464 fr. 92. Le ch. 1 du dispositif du jugement attaqué sera donc annulé et, la cause étant en état d'être jugée (art. 318 al. 1 let. b CPC), la requête de mainlevée sera rejetée. Il est cependant rappelé que la présente décision n'a d'effet que dans le cadre de la poursuite litigieuse et que l'intimée a la possibilité de renouveler sa poursuite en se conformant aux principes rappelés ci-dessus quant à la manière de désigner les montants réclamés dans la réquisition de poursuite et le commandement de payer.</w:t>
      </w:r>
    </w:p>
    <w:p>
      <w:r>
        <w:rPr>
          <w:b/>
        </w:rPr>
        <w:t>E. 3</w:t>
      </w:r>
    </w:p>
    <w:p>
      <w:r>
        <w:t>Lorsque l'instance d'appel statue à nouveau, elle se prononce sur les frais de première instance (art. 318 al. 3 CPC). L'intimée, qui succombe, sera condamnée aux frais de première et seconde instance (art. 106 al. 1 CPC). Les ch. 2 à 4 du dispositif du jugement attaqué seront donc annulés. Les frais judiciaires de première instance seront arrêtés à 300 fr. et ceux de seconde instance à 300 fr. (art. 48 et 61 OELP) et compensés avec les avances versées, acquises à l'Etat de Genève (art. 111 CPC). L'intimée sera dès lors condamnée à verser 300 fr. au recourant à titre de remboursement de l'avance fournie par ce dernier à la Cour. L'intimée sera également condamnée à verser au recourant les montants de 600 fr. et 400 fr. à titre de dépens de, respectivement, première instance et seconde instance, débours et TVA inclus, au vu de l'ampleur du travail et de la difficulté de l'affaire (art. 68 al. 2 let. c et 95 al. 3 let. b CPC; art. 20 et 23 LaCC; art. 85, 89 et 90 RTFMC), le montant réclamé à ce titre de 1'500 fr. étant excessif au regard des dispositions précitées. * * * * *</w:t>
      </w:r>
    </w:p>
    <w:p>
      <w:r>
        <w:t>- 7/7 -</w:t>
      </w:r>
    </w:p>
    <w:p>
      <w:r>
        <w:t>C/21516/2022 PAR CES MOTIFS, La Chambre civile : A la forme : Déclare recevable le recours interjeté le 16 mars 2023 par A______ contre le jugement JTPI/2507/2023 rendu le 6 février 2023 par le Tribunal de première instance dans la cause C/21516/2022-12 SML. Au fond : Annule ce jugement et statuant à nouveau : Rejette la requête de mainlevée définitive de l'opposition au commandement de payer, poursuite n° 1______, formée par B______ le 25 octobre 2022. Déboute les parties de toutes autres conclusions. Sur les frais : Arrête à 600 fr. les frais judiciaires de première et de seconde instance, les met à la charge de B______ et les compense avec les avances fournies, acquises à l'Etat de Genève. Condamne B______ à verser à A______ 300 fr. à titre de frais judiciaires. Condamne B______ à verser à A______ 1'000 fr. à titre de dépens de première et de seconde instance.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