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ACJC/821/2013 vom 28. Juni 2013</w:t>
      </w:r>
    </w:p>
    <w:p>
      <w:r>
        <w:t>GE Cour de justice, 2013-06-28, FR</w:t>
      </w:r>
    </w:p>
    <w:p>
      <w:r>
        <w:rPr>
          <w:b/>
        </w:rPr>
        <w:t xml:space="preserve">Quelle: </w:t>
      </w:r>
      <w:r>
        <w:t>https://mcp.opencaselaw.ch/entscheid/ge_gerichte_ACJC_821_2013</w:t>
      </w:r>
    </w:p>
    <w:p>
      <w:r>
        <w:t>FR: GE_GERICHTE ACJC/821/2013 du 28 juin 2013</w:t>
      </w:r>
    </w:p>
    <w:p>
      <w:r>
        <w:t>IT: GE_GERICHTE ACJC/821/2013 del 28 giugno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 Le recours ayant été interjeté dans le délai et les formes prévus par la loi par des personnes qui y ont intérêt il est par conséquent recevable à cet égard.</w:t>
      </w:r>
    </w:p>
    <w:p>
      <w:r>
        <w:rPr>
          <w:b/>
        </w:rPr>
        <w:t>E. 2.1</w:t>
      </w:r>
    </w:p>
    <w:p>
      <w:r>
        <w:t>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w:t>
      </w:r>
    </w:p>
    <w:p>
      <w:r>
        <w:rPr>
          <w:b/>
        </w:rPr>
        <w:t>E. 2.2</w:t>
      </w:r>
    </w:p>
    <w:p>
      <w:r>
        <w:t>Les maximes des débats et de disposition s'appliquent et la preuve des faits allégués doit être apportée par titre (art. 55 al. 1, 58 al. 1, 255 let. a a contrario et 254 CPC).</w:t>
      </w:r>
    </w:p>
    <w:p>
      <w:r>
        <w:rPr>
          <w:b/>
        </w:rPr>
        <w:t>E. 2.3</w:t>
      </w:r>
    </w:p>
    <w:p>
      <w:r>
        <w:t>Les conclusions, les allégations de faits et les preuves nouvelles sont irrecevables (art. 326 al. 1 CPC). Partant, les pièces nouvelles produites par les parties sont irrecevables.</w:t>
      </w:r>
    </w:p>
    <w:p>
      <w:r>
        <w:t>- 6/13 -</w:t>
      </w:r>
    </w:p>
    <w:p>
      <w:r>
        <w:t>C/24521/2012</w:t>
      </w:r>
    </w:p>
    <w:p>
      <w:r>
        <w:rPr>
          <w:b/>
        </w:rPr>
        <w:t>E. 3</w:t>
      </w:r>
    </w:p>
    <w:p>
      <w:r>
        <w:t>Le recourant fait en premier lieu grief au Tribunal de n'avoir pas retenu que l'intimé n'avait pas la légitimation active, l'intimé ayant agi en tant que représentant et non pas "en qualité de titulaire juridique des fonds."</w:t>
      </w:r>
    </w:p>
    <w:p>
      <w:r>
        <w:rPr>
          <w:b/>
        </w:rPr>
        <w:t>E. 3.1</w:t>
      </w:r>
    </w:p>
    <w:p>
      <w:r>
        <w:t>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5P.174/2005 du 7 octobre 2005, consid. 2.1). Dans cette mesure, la Cour applique librement le droit.</w:t>
      </w:r>
    </w:p>
    <w:p>
      <w:r>
        <w:rPr>
          <w:b/>
        </w:rPr>
        <w:t>E. 3.2</w:t>
      </w:r>
    </w:p>
    <w:p>
      <w:r>
        <w:t>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La reconnaissance de dette peut découler du rapprochement de plusieurs pièces, pour autant que les éléments nécessaires en résultent (ATF 122 II 126 consid. 2; ATF 130 III 87 = SJ 2004 I 209 consid. 3.1; arrêt du Tribunal fédéral 5P 290/2006 du 12 octobre 2006 consid. 3.1.2).</w:t>
      </w:r>
    </w:p>
    <w:p>
      <w:r>
        <w:rPr>
          <w:b/>
        </w:rPr>
        <w:t>E. 3.3</w:t>
      </w:r>
    </w:p>
    <w:p>
      <w:r>
        <w:t>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et références citées). Le contrat de prêt constitue un titre de mainlevée en vue d'obtenir le remboursement de la somme prêtée, et ce pour autant que le débiteur ne conteste pas avoir reçu le montant convenu (ATF 132 III 480, SJ 2006 I 459; KRAUSKOPF, La mainlevée provisoire : quelques jurisprudences récentes, in JdT 2008 II 43, p. 37).</w:t>
      </w:r>
    </w:p>
    <w:p>
      <w:r>
        <w:t>- 7/13 -</w:t>
      </w:r>
    </w:p>
    <w:p>
      <w:r>
        <w:t>C/24521/2012</w:t>
      </w:r>
    </w:p>
    <w:p>
      <w:r>
        <w:rPr>
          <w:b/>
        </w:rPr>
        <w:t>E. 3.4</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 Le créancier qui n'accomplit pas les actes préparatoires qui lui incombent - selon la loi, le contrat ou la nature de l'affaire - et sans lesquels le débiteur ne peut pas fournir sa prestation, est en demeure si son refus est dépourvu de motif légitime et que le débiteur a offert d'accomplir sa prestation (LOERTSCHER, in Commentaire romand CO I, 2012, n. 11, 12 et 14 ad art. 91 CO).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 et références citées).</w:t>
      </w:r>
    </w:p>
    <w:p>
      <w:r>
        <w:rPr>
          <w:b/>
        </w:rPr>
        <w:t>E. 3.5</w:t>
      </w:r>
    </w:p>
    <w:p>
      <w:r>
        <w:t>Les droits et les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représentant peut manifester au tiers (expressément ou tacitement) sa volonté d'agir au nom d'autrui jusqu'au moment de la conclusion du contrat. Le tiers doit donc savoir ou être à même de savoir que le représentant agit non pas pour lui- 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 cet égard, les relations d'affaires dans lesquelles s'inscrit le rapport de droit litigieux doivent être prises en compte. La personne du représenté est évidemment clairement énoncée si le représentant indique au nom de quelle personne il intervient. Mais la personne du représenté peut être expressément désignée d'une autre manière, par exemple en tant que propriétaire d'une affaire déterminée (SJ 1996 p. 554 ss consid. 5c). La preuve de l'existence d'un rapport de représentation incombe à celui qui se prévaut des effets de cette dernière. Faute d'une déclaration expresse ou de</w:t>
      </w:r>
    </w:p>
    <w:p>
      <w:r>
        <w:t>- 8/13 -</w:t>
      </w:r>
    </w:p>
    <w:p>
      <w:r>
        <w:t>C/24521/2012 circonstances particulières, le cocontractant est réputé agir en son propre nom et pour son propre compte (SJ 1984 p. 241 consid. 2).</w:t>
      </w:r>
    </w:p>
    <w:p>
      <w:r>
        <w:rPr>
          <w:b/>
        </w:rPr>
        <w:t>E. 3.6</w:t>
      </w:r>
    </w:p>
    <w:p>
      <w:r>
        <w:t>En l'espèce, il n'est pas contesté que les parties ont signé un contrat de prêt le 23 juin 2005 portant sur un montant de 100'000 fr. qui devait être versé par une tierce personne. Le recourant ne conteste pas avoir reçu un montant de EUR 192'434,67 viré par une société tierce avec la mention "Honorar &amp; Anleihe" (honoraire et prêt). Toutefois, il relève que ce montant n'a pas été versé comme convenu par D______, mais par une société tierce et que celle-ci n'a pas versé la somme convenue mais un montant supérieur. Il en déduit que l'intimé n'est pas titulaire des fonds versés, qu'il agissait en tant que représentant d'un tiers titulaire des fonds prêtés et qu'il n'avait donc pas légitimation active. Or, contrairement à ce que prétend le recourant, le fait que les fonds aient été mis à disposition par un tiers ne permet pas de retenir que, dans le cadre de la conclusion du contrat de prêt, l'intimé s'était présenté comme représentant d'un tiers et qu'il aurait confié le mandat de conclure un contrat de prêt avec le recourant. Le recourant ne rend pas non plus vraisemblable qu'il était fondé à déduire des circonstances l'existence d'un tel mandat au moment de la conclusion du contrat. Dans un courrier du 17 février 2006 - postérieur à la conclusion du contrat - l'intimé mentionnait certes deux transactions, dont le prêt litigieux, et exposait qu'il restait "avec son mandant le propriétaire de la somme dans sa totalité". Il ne ressort toutefois pas de cette lettre que ce tiers lui aurait confié le mandat de conclure le contrat de prêt pour son compte. Le recourant ne l'a d'ailleurs pas prétendu dans sa réponse du 27 février 2006, se limitant à contester que l'intimé ait agi en tant que gestionnaire de fortune et sollicitant ses coordonnées bancaires afin de pouvoir lui régler les intérêts convenus. Pour le surplus, l'obligation de verser le montant du prêt incombant à l'intimé pouvait être valablement remplie par un tiers. Enfin, le recourant ne prétend plus, dans le cadre de son recours, que les fonds qu'il a reçus auraient été versés à un autre titre que le prêt; il ne le rend en tout état de cause pas vraisemblable. L'on ne saurait donc en déduire que l'intimé n'a pas ou pas correctement exécuté sa propre prestation, contrairement à ce que prétend le recourant. Partant, c'est à juste titre que le Tribunal a admis implicitement la légitimation active de l'intimé.</w:t>
      </w:r>
    </w:p>
    <w:p>
      <w:r>
        <w:t>- 9/13 -</w:t>
      </w:r>
    </w:p>
    <w:p>
      <w:r>
        <w:t>C/24521/2012</w:t>
      </w:r>
    </w:p>
    <w:p>
      <w:r>
        <w:rPr>
          <w:b/>
        </w:rPr>
        <w:t>E. 3.7</w:t>
      </w:r>
    </w:p>
    <w:p>
      <w:r>
        <w:t>Le poursuivi allègue que l'intimé n'aurait pas respecté ses incombances en ne lui fournissant pas ses coordonnées bancaires pour lui permettre de payer les intérêts dus. Cet allégué de fait nouveau est irrecevable (art. 326 CPC), le recourant n'ayant pas fait valoir devant le premier juge que l'intimé n'avait pas exécuté un acte préparatoire lui incombant d'après le contrat et sans lequel il ne pouvait pas fournir sa prestation. En outre, il ne ressort pas des pièces produites devant le premier juge que l'intimé aurait refusé de communiquer ses coordonnées bancaires au recourant. Il ressort certes d'un courrier du conseil du recourant de février 2006 que ce dernier avait mis en demeure l'intimé de lui fournir ses coordonnées bancaires. L'on ne saurait toutefois en déduire que l'intimé n'y avait pas donné suite. Cela étant, le recourant n'a pas soulevé de grief tiré de la constatation manifestement inexacte des faits et la Cour, compte tenu de son pouvoir d'examen limité (art. 320 CPC) et de la maxime de disposition applicable à la procédure de mainlevée (art. 255 CPC a contrario), ne peut y remédier d'office. En tout état de cause, même si l'absence de communication des coordonnées bancaires par l'intimé aurait été tenue pour vraisemblable, il n'aurait pas été arbitraire pour autant de prononcer la mainlevée provisoire, dès lors qu'il ressortait des pièces que le recourant avait pu verser des acomptes en remboursement du prêt par virement postal et qu'en conséquence il n'avait pas été empêché de fournir sa prestation. En effet, il découle des pièces produites en première instance que des paiements ont été effectués par le recourant dès mars 2009 et jusqu'en novembre 2009 à hauteur de 17'500 fr. par virement postal à l'adresse de l'intimé. Il ne ressort pas davantage de ces pièces que l'intimé aurait refusé lesdits virements postaux, contrairement à ce que le recourant allègue, étant rappelé que les pièces nouvelles produites devant la Cour sont irrecevables. Ce grief du recourant doit donc également être rejeté.</w:t>
      </w:r>
    </w:p>
    <w:p>
      <w:r>
        <w:rPr>
          <w:b/>
        </w:rPr>
        <w:t>E. 3.8</w:t>
      </w:r>
    </w:p>
    <w:p>
      <w:r>
        <w:t>Le Tribunal a retenu que la mainlevée provisoire devait être prononcée pour une somme de 100'000 fr. déduction faite de 10'000 fr. que l'intimé avait admis avoir reçue à titre de remboursement du prêt le 17 octobre 2005. Se fondant sur les art. 86 et ss CO, il a considéré qu'il ne fallait pas tenir compte de la somme de 17'000 fr. (recte 17'500 fr.) versée par l'appelant à l'intimé (soit 7x 2'500 fr., cf. let. Ca partie EN FAIT ci-devant), ce dernier ayant indiqué qu'elle devait être affectée à une autre affaire liant les parties.</w:t>
      </w:r>
    </w:p>
    <w:p>
      <w:r>
        <w:t>- 10/13 -</w:t>
      </w:r>
    </w:p>
    <w:p>
      <w:r>
        <w:t>C/24521/2012 Le recourant fait valoir que ce montant aurait dû être déduit de la poursuite, somme correspondant au remboursement partiel du prêt. Il fait grief au premier juge d'avoir retenu que ce montant avait été affecté à un "prétendu volet […] FOREX". Or, il ne ressort nullement des pièces que l'intimé aurait indiqué qu'il fallait affecter cette somme à l'une ou l'autre des transactions, et dans sa requête de mainlevée il a laissé cette question ouverte. En outre, il n'a fourni aucun élément permettant de déterminer la teneur de cette transaction dite "FOREX", les parties à celle-ci et l'exigibilité de cette créance. Dans ces circonstances, il y a lieu d'imputer lesdits acomptes du solde du prêt dû par le recourant, soit de la dette exigible (art. 87 al. 1 CO). Cela étant, les acomptes versés par l'intimé entre mars et novembre 2009 s'élèvent à 17'500 fr. (soit 7x 2'500 fr.) comme le reconnaît l'intimé et non pas 17'000 fr. comme indiqué par erreur par le premier juge. La maxime de disposition applicable à la procédure ne s'oppose pas à ce que ce montant soit pris en compte en imputation du solde dû par le recourant, ce dernier concluant au rejet total de la mainlevée.</w:t>
      </w:r>
    </w:p>
    <w:p>
      <w:r>
        <w:rPr>
          <w:b/>
        </w:rPr>
        <w:t>E. 3.9</w:t>
      </w:r>
    </w:p>
    <w:p>
      <w:r>
        <w:t>L'intimé a requis en poursuite des montants portant intérêts à 5% l'an dès le</w:t>
      </w:r>
    </w:p>
    <w:p>
      <w:r>
        <w:rPr>
          <w:b/>
        </w:rPr>
        <w:t>E. 3.10</w:t>
      </w:r>
    </w:p>
    <w:p>
      <w:r>
        <w:t>Compte tenu de ce qui précède, la mainlevée provisoire formée au commandement de payer, poursuite n° 1______, sera prononcée à concurrence de 100'000 fr. avec intérêts à 4% l'an dès le 5 juillet 2005 au 30 juin 2008 et à 5% dès le 1er juillet 2008, sous déduction de 10'000 fr. versés le 17 octobre 2005 et de 17'500 fr. versés entre mars et novembre 2009. Le recours est donc partiellement admis concernant le montant de la créance ainsi que des intérêts et le jugement sera réformé dans ce sens.</w:t>
      </w:r>
    </w:p>
    <w:p>
      <w:r>
        <w:t>- 11/13 -</w:t>
      </w:r>
    </w:p>
    <w:p>
      <w:r>
        <w:t>C/24521/2012 4. La partie qui succombe est condamnée aux frais. Lorsqu'aucune des parties n'obtient entièrement gain de cause, les frais sont répartis selon le sort de la cause (art. 106 al. 1 et 2 CPC).</w:t>
      </w:r>
    </w:p>
    <w:p>
      <w:r>
        <w:t>Les frais comprennent les frais judiciaires et les dépens (art. 95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En l'espèce, le recourant a principalement succombé, n'obtenant gain de cause qu'à concurrence de 17'500 fr. sur les 90'000 fr. réclamés ainsi que sur le dies a quo des intérêts moratoires. Il se justifie dès lors que les frais du recours soient mis à sa charge à raison de 3/4. Ceux-ci comprendront les frais judiciaires de la présente décision et de la décision sur effet suspensif fixés à 1'125 fr. (art. 48 et 61 OELP), ainsi que les dépens de recours de sa partie adverse qui, bien qu'ayant comparu en personne, a rédigé deux réponses sur effet suspensif et sur le fond de quatre pages chacune. Ces derniers seront arrêtés à 500 fr., débours et TVA éventuels compris (art. 95 al. 3 let. c CPC; art. 25 et 26 RTFMC; art. 25 et 26 LaCC).</w:t>
      </w:r>
    </w:p>
    <w:p>
      <w:r>
        <w:t>En revanche, quand bien même le jugement entrepris est partiellement infirmé par le présent arrêt, il était pour l'essentiel fondé. Il se justifie donc de laisser de frais judiciaires et les dépens de première instance à la charge du recourant (art. 318 al. 3 CPC). * * * * *</w:t>
      </w:r>
    </w:p>
    <w:p>
      <w:r>
        <w:t>- 12/13 -</w:t>
      </w:r>
    </w:p>
    <w:p>
      <w:r>
        <w:t>C/24521/2012 PAR CES MOTIFS, La Chambre civile : A la forme : Déclare recevable le recours interjeté par A______ contre le jugement JTPI/2934/2013 rendu le 25 février 2013 par le Tribunal de première instance dans la cause C/24521/2012-16 SML. Au fond : Annule le ch. 1 du dispositif dudit jugement. Et, statuant à nouveau : Prononce la mainlevée provisoire de l’opposition formée au commandement de payer, poursuite n° 1______, à concurrence de 100'000 fr. avec intérêts à 4% l'an dès le</w:t>
      </w:r>
    </w:p>
    <w:p>
      <w:r>
        <w:rPr>
          <w:b/>
        </w:rPr>
        <w:t>E. 5</w:t>
      </w:r>
    </w:p>
    <w:p>
      <w:r>
        <w:t>juillet 2005 au 30 juin 2008 et à 5% l'an dès le 1er juillet 2008 sous déduction de : - 10'000 fr. versés le 17 octobre 2005; - 2'500 fr. versés le 6 mars 2009; - 2'500 fr. versés le 7 avril 2009; - 2'500 fr. versés le 9 mai 2009; - 2'500 fr. versés le 8 juillet 2009; - 2'500 fr. versés le 7 août 2009; - 2'500 fr. versés le 7 septembre 2009; - 2'500 fr. versés le 17 novembre 2009. Déboute les parties de toutes autres conclusions. Sur les frais : Arrête les frais judiciaires du recours à 1'125 fr. et dit qu'ils sont entièrement couverts par l'avance faite par A______, qui reste ainsi acquise à l'Etat. Met à la charge de A______ les ¾ desdits frais du recours.</w:t>
      </w:r>
    </w:p>
    <w:p>
      <w:r>
        <w:t>- 13/13 -</w:t>
      </w:r>
    </w:p>
    <w:p>
      <w:r>
        <w:t>C/24521/2012 Met à la charge de B______ le ¼ desdits frais et le condamne à payer 281 fr. à A______ à ce titre. Condamne A______ aux ¾ des dépens de recours de B______ de 500 fr. et le condamne par conséquent à payer à ce dernier 375 fr. à ce titre.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