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ACJC/820/2022 vom 17. Juni 2022</w:t>
      </w:r>
    </w:p>
    <w:p>
      <w:r>
        <w:t>GE Cour de justice, 2022-06-17, FR</w:t>
      </w:r>
    </w:p>
    <w:p>
      <w:r>
        <w:rPr>
          <w:b/>
        </w:rPr>
        <w:t xml:space="preserve">Quelle: </w:t>
      </w:r>
      <w:r>
        <w:t>https://mcp.opencaselaw.ch/entscheid/ge_gerichte_ACJC_820_2022</w:t>
      </w:r>
    </w:p>
    <w:p>
      <w:r>
        <w:t>FR: GE_GERICHTE ACJC/820/2022 du 17 juin 2022</w:t>
      </w:r>
    </w:p>
    <w:p>
      <w:r>
        <w:t>IT: GE_GERICHTE ACJC/820/2022 del 17 giugno 2022</w:t>
      </w:r>
    </w:p>
    <w:p>
      <w:pPr>
        <w:pStyle w:val="Heading2"/>
      </w:pPr>
      <w:r>
        <w:t>Erwägungen</w:t>
      </w:r>
    </w:p>
    <w:p>
      <w:r>
        <w:rPr>
          <w:b/>
        </w:rPr>
        <w:t>E. 5</w:t>
      </w:r>
    </w:p>
    <w:p>
      <w:r>
        <w:t>L'appelante reproche au Tribunal d'avoir violé les dispositions relatives à la représentation, et plus particulièrement à la représentation conjugale, en retenant que F______ n'avait pas agi en qualité de représentant de l'intimée dans ses relations contractuelles avec l'appelante.</w:t>
      </w:r>
    </w:p>
    <w:p>
      <w:r>
        <w:t>- 8/14 -</w:t>
      </w:r>
    </w:p>
    <w:p>
      <w:r>
        <w:t>C/6565/2019</w:t>
      </w:r>
    </w:p>
    <w:p>
      <w:r>
        <w:t>Il convient dès lors de déterminer si B______ est cocontractante de l'appelante pour les prestations facturées dont celle-ci lui réclame paiement, en vertu d'un rapport de représentation avec F______.</w:t>
      </w:r>
    </w:p>
    <w:p>
      <w:r>
        <w:t>5.1.1 La vente est un contrat par lequel le vendeur s'oblige à livrer la chose vendue à l'acheteur et à lui en transférer la propriété, moyennant un prix que l'acheteur s'engage à lui payer (art. 184 al. 1 CO).</w:t>
      </w:r>
    </w:p>
    <w:p>
      <w:r>
        <w:t>Le contrat d'entreprise est un contrat par lequel une des parties (l'entrepreneur) s'oblige à exécuter un ouvrage, moyennant un prix que l'autre partie (le maître d'ouvrage) s'engage à lui payer (art. 363 CO). A teneur de l'art. 1 CO, le contrat est parfait lorsque les parties ont, réciproquement et d'une manière concordante, manifesté leur volonté (al. 1). Cette manifestation peut être expresse ou tacite (al. 2). Pour déterminer quels sont les cocontractants d'une relation contractuelle, le juge doit interpréter les manifestations de volonté. Il doit rechercher, dans un premier temps, la réelle et commune intention des parties (interprétation subjective), le cas échéant empiriquement, sur la base d'indices (ATF 132 III 268 consid. 2.3.2; ATF 132 III 626 consid. 3.1; ATF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ATF 112 II 337 consid. 4a).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4A_98/2016 du 22 août 2016 consid. 5.1; 4A_608/2016 du 30 mai 2017 consid. 2.4).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4A_210/2015 du 2 octobre 2015 consid. 6.2.1; 5C.252/2004 du 30 mai 2005 consid. 4.3) -, il doit recourir à l'interprétation normative (ou objective), à savoir rechercher leur volonté objective, en</w:t>
      </w:r>
    </w:p>
    <w:p>
      <w:r>
        <w:t>- 9/14 -</w:t>
      </w:r>
    </w:p>
    <w:p>
      <w:r>
        <w:t>C/6565/2019 déterminant le sens que, d'après les règles de la bonne foi, chacune d'elles pouvait et devait raisonnablement prêter aux déclarations de volonté de l'autre (application du principe de la confiance; ATF 132 III 268 consid. 2.3.2 ; ATF 132 III 626 consid. 3.1; ATF 118 II 365 consid. 1). Ce principe permet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arrêt du Tribunal fédéral 4A_155/2017 précité consid. 2.3). 5.1.2 Aux termes de l'art. 32 al. 1 CO, les droits et obligations dérivant d'un contrat fait au nom d'une autre personne par un représentant autorisé passent au représenté. Il s'ensuit que le représentant n'est pas lié par l'acte accompli. D'après l'art.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La preuve de l'existence d'un rapport de représentation incombe à celui qui s'en prévaut (art. 8 CC; arrêt du Tribunal fédéral 4A_186/2009 du 3 mars 2010 consid. 4.2). 5.1.3 A teneur de l'art. 166 al. 1 CC, chaque époux représente l'union conjugale pour les besoins courants de la famille pendant la vie commune. Par besoins courants, il faut comprendre les actes destinés à assurer l'entretien usuel et quotidien de la famille. Font en général partie des besoins courants les dépenses liées à l'alimentation, aux soins corporels, à l'habillement, à l'entretien du logement de la famille, etc. (CR CC-LEUBA, ad art. 166 N 18). Un acte conclu dans l'intérêt d'un des époux seulement n'entre pas dans le champ de cette disposition (CR CC-LEUBA, ad art. 166 N 14). Ce pouvoir de représentation s'éteint dès la suspension de la vie commune, une séparation de fait étant suffisante (CR CC-LEUBA, ad art. 166 N 12). 5.2.1 En l'espèce, s'agissant d'abord du montant réclamé de 1'060 fr. 15 en capital, soit le solde dû pour l'acquisition de la remorque, le Tribunal a retenu à bon droit que l'intimée n'en était pas la débitrice, et la Cour fait siens les motifs du premier juge.</w:t>
      </w:r>
    </w:p>
    <w:p>
      <w:r>
        <w:t>- 10/14 -</w:t>
      </w:r>
    </w:p>
    <w:p>
      <w:r>
        <w:t>C/6565/2019 Ainsi, tout d'abord, il n'est pas établi que l'intimée ait été l'acquéreuse de la remorque et qu'elle ait mandaté l'appelante dans ce cadre. En effet, elle a déclaré qu'elle ignorait tout de cet achat. Elle a d'ailleurs contesté avoir reçu les factures y relatives, et l'appelante n'a pas démontré que tel avait été le cas. Sa qualité de détentrice de la remorque sur la carte grise n'emporte pas celle de cocontractante de l'appelante pour les prestations effectuées en lien avec cet achat, alors même qu'il ne ressort pas du dossier qu'elle aurait eu le moindre contact avec l'appelante dans ce cadre, au contraire de F______. A cet égard, le Tribunal a justement relevé la nécessité d'un détenteur de la remorque domicilié en Suisse, alors que F______ était domicilié au Portugal. Ces contraintes administratives ne suffisent pas à faire de l'intimée la cocontractante de l'appelante. F______ a par ailleurs reconnu avoir payé le montant de 30'000 fr. ayant servi à couvrir partiellement les prestations de l'appelante en lien avec l'acquisition de la remorque, admettant ainsi implicitement en être le débiteur, car cocontractant de l'appelante. Aucune pièce ne vient démentir ce qui précède, les avis de débit des montants précités n'ayant pas été produits et le versement dont il est admis qu'il a été effectué par N______ SA ne portant aucune référence. 5.2.2 La facture n°3______, en 108 fr., a été adressée à F______, et non à l'intimée. Le fait que les rappels subséquents aient été envoyés à l'intimée ne suffit pas à considérer que celle-ci était la cocontractante de l'appelante. En effet, il n'est pas établi que l'intimée ait eu le moindre contact avec l'appelante en lien avec le bateau. Au contraire, les enquêtes ont démontré que le seul interlocuteur de l'appelante à cet égard était F______. Il ne peut être tiré argument du fait que le bateau ait été immatriculé au nom de I______ SARL, au demeurant pour une seule journée, personne morale à la personnalité propre, indépendante de celle de l'intimée, vraisemblablement utilisée pour des raisons administratives (comme pour la remorque), F______ étant alors domicilié au Portugal. 5.2.3 Les arguments qui précèdent valent mutadis mutandis pour la facture n° 4______ relative aux travaux de renforcement de la proue. A cela s'ajoute que ces travaux ont été commandés et payés par E______, lequel n'a eu de contact qu'avec F______, qui lui avait remis le bateau et régulièrement versé des acomptes en paiement de ses différentes factures. Au vu des considérations qui précèdent, il faut admettre, avec le Tribunal, que l'intimée n'a pas, au moins directement, mandaté l'appelante pour les prestations dont le paiement lui est réclamé. Reste à examiner si F______ a agi en qualité de représentant de l'intimée, en mandatant l'appelante pour les prestations détaillées ci-dessus. 5.2.4 En ce qui concerne un éventuel pouvoir de représentation découlant de l'art. 32 CO, l'appelante n'a pas produit de procuration ni aucun autre document de ce type prouvant que F______ aurait disposé du pouvoir de représenter B______.</w:t>
      </w:r>
    </w:p>
    <w:p>
      <w:r>
        <w:t>- 11/14 -</w:t>
      </w:r>
    </w:p>
    <w:p>
      <w:r>
        <w:t>C/6565/2019 Un tel pouvoir de représentation ne peut pas non plus être déduit des circonstances du cas d'espèce. En effet, comme il a déjà été relevé, F______ s'est toujours occupé de gérer les questions relatives au bateau et il a été le seul interlocuteur de l'appelante. Le fait que l'intimée apparaissait sur la carte grise remise à l'appelante était insuffisant pour considérer que F______ agissait comme représentant de l'intimée, faute d'autres éléments en ce sens. 5.2.5 Il ne peut non plus être retenu que F______ agissait en qualité de représentant de l'union conjugale, s'agissant de prestations qui n'entrent de toute évidence pas dans les besoins courants de la famille.</w:t>
      </w:r>
    </w:p>
    <w:p>
      <w:r>
        <w:rPr>
          <w:b/>
        </w:rPr>
        <w:t>E. 6</w:t>
      </w:r>
    </w:p>
    <w:p>
      <w:r>
        <w:t>Dans son dernier grief, l'appelante reproche au Tribunal d'avoir méconnu le principe de la transparence (Durchgriff). Elle prétend que le premier juge aurait dû admettre la légitimation passive de l'intimée au motif cette dernière est l'ayant droit économique de I______ SÀRL, société supposément propriétaire du bateau.</w:t>
      </w:r>
    </w:p>
    <w:p>
      <w:r>
        <w:rPr>
          <w:b/>
        </w:rPr>
        <w:t>E. 6.1</w:t>
      </w:r>
    </w:p>
    <w:p>
      <w:r>
        <w:t>Lorsqu'une personne fonde une personne morale, il faut en principe considérer qu'il y a deux sujets de droit distinct avec des patrimoines séparés. Toutefois un tiers peut être, dans des circonstances particulières, tenu des engagements d'un débiteur avec lequel il forme une identité économique. En effet,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On doit alors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(ATF 144 III 541 consid. 8.3.1; ATF 132 III 489 consid. 3.2).</w:t>
      </w:r>
    </w:p>
    <w:p>
      <w:r>
        <w:rPr>
          <w:b/>
        </w:rPr>
        <w:t>E. 6.2</w:t>
      </w:r>
    </w:p>
    <w:p>
      <w:r>
        <w:t>En l'espèce, il a déjà été relevé que la qualité de propriétaire du bateau, voire de la remorque, n'emportait pas celle de débiteur des prestations dont le paiement est réclamé. Pour cette raison déjà, peu importe qu'il y ait ou non identité économique entre l'intimée et I______ SARL. Il en va de même s'agissant du versement de 10'000 fr. opéré par N______ SA, dont aucun argument ne peut être tiré s'agissant du coconctractant de l'appelante, au vu des autres éléments du dossier.</w:t>
      </w:r>
    </w:p>
    <w:p>
      <w:r>
        <w:rPr>
          <w:b/>
        </w:rPr>
        <w:t>E. 7</w:t>
      </w:r>
    </w:p>
    <w:p>
      <w:r>
        <w:t>En conclusion, au vu des considérations qui précèdent, c'est à bon droit que le Tribunal a considéré que l'intimée n'était pas la cocontractante de l'appelante et qu'elle n'avait dès lors pas la légitimation passive à l'action en paiement, laquelle devait être rejetée. Le jugement entrepris sera confirmé.</w:t>
      </w:r>
    </w:p>
    <w:p>
      <w:r>
        <w:t>- 12/14 -</w:t>
      </w:r>
    </w:p>
    <w:p>
      <w:r>
        <w:t>C/6565/2019</w:t>
      </w:r>
    </w:p>
    <w:p>
      <w:r>
        <w:rPr>
          <w:b/>
        </w:rPr>
        <w:t>E. 8</w:t>
      </w:r>
    </w:p>
    <w:p>
      <w:r>
        <w:t>Les frais judiciaires d'appel, arrêtés à 1'800 fr. (art. 35 et 36 RTFMC), sont mis à la charge de l'appelante qui succombe (art. 106 al.1 CPC). Ils sont entièrement compensés avec l'avance de frais du même montant déjà versée (art. 111 al. 1 CPC; art. 2 RTFMC), laquelle reste acquise à l'Etat de Genève.</w:t>
      </w:r>
    </w:p>
    <w:p>
      <w:r>
        <w:t>L'appelante sera en outre condamnée à verser à l'intimée la somme de 1'500 fr. à titre de dépens d'appel, débours et TVA compris (art. 105 al. 2 CPC; art. 84, 85 et 90 RTFMC; art. 20 al. 1, 25 et 26 LaCC). * * * * *</w:t>
      </w:r>
    </w:p>
    <w:p>
      <w:r>
        <w:t>- 13/14 -</w:t>
      </w:r>
    </w:p>
    <w:p>
      <w:r>
        <w:t>C/6565/2019 PAR CES MOTIFS, La Chambre civile : A la forme : Déclare recevable l'appel interjeté par A______ SÀRL contre le jugement JTPI/10581/2021 rendu le 20 août 2021 par la 20ème Chambre de Tribunal de première instance dans la cause C/6565/2019. Au fond : Confirme ce jugement. Déboute les parties de toutes autres conclusions. Sur les frais : Met à la charge de A______ SÀRL les frais judiciaires d'appel, arrêtés à 1'800 fr. et compensés avec l'avance fournie, acquise à l'Etat de Genève. Condamne A______ SÀRL à verser à B______ 1'500 fr. à titre de dépens d'appel. Siégeant : Monsieur Cédric-Laurent MICHEL, président; Madame Pauline ERARD, Madame Paola CAMPOMAGNANI, juges; Madame Sandra CARRIER, greffière.</w:t>
      </w:r>
    </w:p>
    <w:p>
      <w:r>
        <w:t>Le président : Cédric-Laurent MICHEL</w:t>
      </w:r>
    </w:p>
    <w:p>
      <w:r>
        <w:t>La greffière : Sandra CARRIER</w:t>
      </w:r>
    </w:p>
    <w:p>
      <w:r>
        <w:t>- 14/14 -</w:t>
      </w:r>
    </w:p>
    <w:p>
      <w:r>
        <w:t>C/6565/2019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