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ACJC/814/2019 vom 18. Juni 2019</w:t>
      </w:r>
    </w:p>
    <w:p>
      <w:r>
        <w:t>GE Cour de justice, 2019-06-18, FR</w:t>
      </w:r>
    </w:p>
    <w:p>
      <w:r>
        <w:rPr>
          <w:b/>
        </w:rPr>
        <w:t xml:space="preserve">Quelle: </w:t>
      </w:r>
      <w:r>
        <w:t>https://mcp.opencaselaw.ch/entscheid/ge_gerichte_ACJC_814_2019</w:t>
      </w:r>
    </w:p>
    <w:p>
      <w:r>
        <w:t>FR: GE_GERICHTE ACJC/814/2019 du 18 juin 2019</w:t>
      </w:r>
    </w:p>
    <w:p>
      <w:r>
        <w:t>IT: GE_GERICHTE ACJC/814/2019 del 18 giugno 2019</w:t>
      </w:r>
    </w:p>
    <w:p>
      <w:pPr>
        <w:pStyle w:val="Heading2"/>
      </w:pPr>
      <w:r>
        <w:t>Erwägungen</w:t>
      </w:r>
    </w:p>
    <w:p>
      <w:r>
        <w:rPr>
          <w:b/>
        </w:rPr>
        <w:t>E. 1.1</w:t>
      </w:r>
    </w:p>
    <w:p>
      <w:r>
        <w:t>L'annulation de la décision ayant mis fin à la procédure devant l'instance cantonale et le renvoi de la cause à cette instance pour nouvelle décision par le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4A_641/2011 du 27 janvier 2012 consid. 2.2).</w:t>
      </w:r>
    </w:p>
    <w:p>
      <w:r>
        <w:rPr>
          <w:b/>
        </w:rPr>
        <w:t>E. 1.2</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w:t>
      </w:r>
    </w:p>
    <w:p>
      <w:r>
        <w:t>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111 II 94 consid. 2; arrêts du Tribunal fédéral 5A_251/2008 consid. 2, in RSPC 2009 p. 193; 5P_425/2002 du 25 novembre consid. 2.1).</w:t>
      </w:r>
    </w:p>
    <w:p>
      <w:r>
        <w:t>- 6/10 -</w:t>
      </w:r>
    </w:p>
    <w:p>
      <w:r>
        <w:t>C/22769/2016 Les faits nouveaux ne sont admis que dans la mesure où ils concernent les points faisant l'objet du renvoi et où ils sont admissibles selon le droit de procédure (ATF 135 III 334 consid. 2; 131 III 91 consid. 5.2, arrêt du Tribunal fédéral 5A_561/2011 du 19 mars 2012 consid. 4.1).</w:t>
      </w:r>
    </w:p>
    <w:p>
      <w:r>
        <w:rPr>
          <w:b/>
        </w:rPr>
        <w:t>E. 1.3</w:t>
      </w:r>
    </w:p>
    <w:p>
      <w:r>
        <w:t>En l'espèce, le Tribunal fédéral, dans son arrêt du 18 janvier 2019, a partiellement annulé l'arrêt de la Cour du 25 juillet 2018 et renvoyé la cause à cette autorité afin qu'elle examine les arguments de l'intimé concernant la possibilité d'imputer un revenu hypothétique à l'appelante et, le cas échéant, modifie les contributions d'entretien en conséquence. Il convient dès lors d'examiner cette question.</w:t>
      </w:r>
    </w:p>
    <w:p>
      <w:r>
        <w:rPr>
          <w:b/>
        </w:rPr>
        <w:t>E. 2</w:t>
      </w:r>
    </w:p>
    <w:p>
      <w:r>
        <w:t>2.1.1 En cas de suspension de la vie commune, la loi prévoit que le juge fixe les contributions d'entretien à verser respectivement aux enfants et à l'époux (art. 176 al. 1 ch. 1 CC). 2.1.2 Lorsqu'il fixe la contribution d'entretien, le juge doit en principe tenir compte des revenus effectifs. Il peut toutefois imputer à un époux un revenu hypothétique, pour autant qu'il puisse gagner plus que son revenu effectif en faisant preuve de bonne volonté et en accomplissant l'effort que l'on peut raisonnablement exiger de lui (arrêt du Tribunal fédéral 5A_584/2016 du 14 février 2017 consid. 5.1).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w:t>
      </w:r>
    </w:p>
    <w:p>
      <w:r>
        <w:t>Selon la jurisprudence récente et modifiée du Tribunal fédéral,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(arrêts du Tribunal fédéral 5A_384/2018 du 21 septembre 2018 consid. 4.7.6, destiné à la publication; 5A_968/2017 du 25 septembre 2018 consid. 3.1.2; 5A_931/2017 du 1er novembre 2018 consid. 3.1.2). En effet, comme jusqu'à présent, dans les cas où les parents,</w:t>
      </w:r>
    </w:p>
    <w:p>
      <w:r>
        <w:t>- 7/10 -</w:t>
      </w:r>
    </w:p>
    <w:p>
      <w:r>
        <w:t>C/22769/2016 indépendamment de leur état civil, pratiquaient une répartition "classique" des rôles avant la dissolution du ménage commun, il pourra s'avérer plus adéquat de laisser le parent qui s'occupait principalement des enfants continuer de le faire pendant un certain temps (principe de la continuité); mais le partage des tâches pratiqué avant la séparation ne saurait être perpétué indéfiniment (arrêts du Tribunal fédéral 5A_384/2018 précité consid. 4.5-4.6; 5A_968/2017 précité consid. 3.3).</w:t>
      </w:r>
    </w:p>
    <w:p>
      <w:r>
        <w:rPr>
          <w:b/>
        </w:rPr>
        <w:t>E. 2.2</w:t>
      </w:r>
    </w:p>
    <w:p>
      <w:r>
        <w:t>En l'espèce, l'appelante a travaillé de mars 2014 à juillet 2016, puis à nouveau dès mars 2017, au taux réduit de 15%, comme ______ remplaçante. Elle est âgée de 47 ans et ne souffre d'aucun problème de santé. Elle dispose d'une formation dans le domaine _____ et peut se prévaloir d'une bonne expérience professionnelle. Elle n'est pas coupée du monde du travail. Ses enfants sont âgés de 12 et 15 ans. Dès lors, au vu de la jurisprudence récente et des éléments qui précèdent, il peut être exigé de l'appelante qu'elle augmente son temps de travail à 50% au moins. Cela lui permettra de s'occuper de l'encadrement de son fils D______. L'appelante bénéficiant déjà d'un emploi, la possibilité effective d'augmenter son taux d'activité paraît envisageable. Elle n'allègue d'ailleurs pas que le marché du travail dans le domaine dans lequel elle exerce serait particulièrement saturé. Reste à déterminer le revenu qu'elle pourrait réaliser.</w:t>
      </w:r>
    </w:p>
    <w:p>
      <w:r>
        <w:t>L'appelante gagne actuellement 600 fr. par mois en qualité de remplaçante de ______ à 15%. Si elle augmentait son taux de travail à 50% selon les mêmes conditions, son salaire mensuel net représenterait 2'000 fr.</w:t>
      </w:r>
    </w:p>
    <w:p>
      <w:r>
        <w:t>Il ressort par ailleurs du calculateur de salaire en ligne de l'Etat de Genève qu'une personne née en 1971 peut réaliser, dans un poste dans le domaine de ______ telle que ______, sans fonction de cadre ni ancienneté, un salaire médian de 9'400 fr. en travaillant à temps plein, soit 4'700 fr. brut par mois et environ 4'000 fr. net pour une activité à 50%.</w:t>
      </w:r>
    </w:p>
    <w:p>
      <w:r>
        <w:t>Au vu de ces différents éléments, un revenu hypothétique de 3'000 fr. par mois lui sera imputé (soit la moyenne entre 2'000 fr. et 4'000 fr.) pour une activité à 50%. Un bref délai lui sera accordé pour effectivement trouver un emploi fixe à 50%, soit jusqu'au 31 octobre 2019. Son déficit sera alors de 2'950 fr. par mois, dont le 60% représente 1'770 fr. (/2 = 885 fr.).</w:t>
      </w:r>
    </w:p>
    <w:p>
      <w:r>
        <w:t>Ses enfants étant actuellement âgés de 12 et 15 ans, il ne se justifie pas de déroger à la règle selon laquelle il ne peut être exigé de l'appelante qu'elle exerce une activité lucrative à temps complet avant que le cadet ait atteint l'âge de 16 ans révolus, soit avant [le mois de] ______ 2022.</w:t>
      </w:r>
    </w:p>
    <w:p>
      <w:r>
        <w:rPr>
          <w:b/>
        </w:rPr>
        <w:t>E. 2.3</w:t>
      </w:r>
    </w:p>
    <w:p>
      <w:r>
        <w:t>Les parties n'ayant pas remis en cause l'application de la méthode du minimum vital avec répartition de l'excédent appliquée par le Tribunal puis par la</w:t>
      </w:r>
    </w:p>
    <w:p>
      <w:r>
        <w:t>- 8/10 -</w:t>
      </w:r>
    </w:p>
    <w:p>
      <w:r>
        <w:t>C/22769/2016 Cour, ni les montants retenus au titre des revenus et charges, sous réserve de ce qui précède, pas plus que la proportion de 60% du minimum vital de l'appelante au titre de contribution de prise en charge, il ne sera pas revenu sur ces points.</w:t>
      </w:r>
    </w:p>
    <w:p>
      <w:r>
        <w:t>Ainsi, après paiement de ses charges admissibles et déduction des montants affectés à l'entretien des enfants, l'intimé dispose d'un montant disponible de l'ordre de 9'960 fr. (22'400 fr. – 8'470 fr. [charges admissibles, impôts compris] – 2'135 fr. x 2 [1'250 fr. pour les besoins effectifs et 885 fr. de prise en charge] pour chacun des enfants).</w:t>
      </w:r>
    </w:p>
    <w:p>
      <w:r>
        <w:t>Ce montant sera réparti à raison de 1/3 (3'220 fr.) en faveur de la mère, de 1/6 (1'610 fr.) en faveur de chacun des enfants et de 1/3 en faveur du père. B______ ayant spontanément versé une contribution d'entretien de 1'250 fr. par enfant, plus élevée que les besoins vitaux de ses enfants de 744 fr. pour D______ et de 874 fr. pour E______, la question de leur participation à l'excédent de leur père se pose. Cependant, ce point n'a pas été contesté en appel, de sorte qu'il ne peut être revu.</w:t>
      </w:r>
    </w:p>
    <w:p>
      <w:r>
        <w:t>Au vu de ce qui précède, les chiffres 5 et 7 du dispositif du jugement entrepris seront modifiés en ce sens que l'intimé sera condamné à contribuer à l'entretien des enfants E______ et D______ à hauteur de 3'745 fr. par mois et par enfant, contribution de prise en charge comprise. Il devra en outre s'acquitter d'une contribution d'entretien de 3'220 fr. par mois en faveur de son épouse, dès le 1er novembre 2019.</w:t>
      </w:r>
    </w:p>
    <w:p>
      <w:r>
        <w:t>En outre, dans la mesure où l'aîné atteindra l'âge de 16 ans en 2020 et la cadette en 2022, il ne sera pas statué sur les contributions dues dès ces dates, les mesures protectrices de l'union conjugale étant par essence limitées dans le temps.</w:t>
      </w:r>
    </w:p>
    <w:p>
      <w:r>
        <w:rPr>
          <w:b/>
        </w:rPr>
        <w:t>E. 3.1</w:t>
      </w:r>
    </w:p>
    <w:p>
      <w:r>
        <w:t>La Cour statue sur les frais judiciaires et les répartit d'office (art. 104 et 105 CPC). 3.2.1 Il ne se justifie pas de revenir sur le montant et la répartition des frais judiciaires et des dépens d'appel, le Tribunal fédéral n'ayant pas invité la Cour à se prononcer à nouveau sur ces points, lesquels sont devenus définitifs et exécutoires. 3.2.2 Par ailleurs, il sera renoncé à percevoir un émolument de décision dans le cadre de la présente procédure de renvoi devant la Cour, dès lors qu'elle a été rendue nécessaire par l'annulation partielle de son précédent arrêt du 18 janvier 2019 par le Tribunal fédéral. Pour le surplus, il n'y a pas lieu à l'octroi de dépens d'appel en lien avec ladite procédure de renvoi. * * * * *</w:t>
      </w:r>
    </w:p>
    <w:p>
      <w:r>
        <w:t>- 9/10 -</w:t>
      </w:r>
    </w:p>
    <w:p>
      <w:r>
        <w:t>C/22769/2016</w:t>
      </w:r>
    </w:p>
    <w:p>
      <w:r>
        <w:t>PAR CES MOTIFS, La Chambre civile : Statuant sur renvoi du Tribunal fédéral : Annule les chiffres 5 et 7 du dispositif du jugement JTPI/1804/2018 rendu le 1er février 2018 par le Tribunal de première instance dans la cause C/22769/2016. Cela fait, et statuant à nouveau : Condamne B______ à verser en mains de A______, à titre de contribution à l'entretien de l'enfant D______, allocations familiales ou d'études non comprises, par mois et d'avance, la somme de 3'745 fr. dès le 1er novembre 2019. Condamner B______ à verser en mains de A______, à titre de contribution à l'entretien de l'enfant E______, allocations familiales ou d'études non comprises, par mois et d'avance, la somme de 3'745 fr. dès le 1er novembre 2019. Condamne B______ à verser en mains de A______, à titre de contribution à son entretien, par mois et d'avance, la somme de 3'220 fr., dès le 1er novembre 2019. Confirme le jugement pour le surplus. Déboute les parties de toutes autres conclusions. Sur les frais de la procédure de renvoi : Dit qu'il est renoncé à la perception de frais judiciaires. Dit que chaque partie supporte ses propres dépens. Siégeant : Monsieur Cédric-Laurent MICHEL, président; Mesdames Pauline ERARD et Paola CAMPOMAGNANI, juges; Madame Christel HENZELIN, greffière. Le président : Cédric-Laurent MICHEL</w:t>
      </w:r>
    </w:p>
    <w:p>
      <w:r>
        <w:t>La greffière : Christel HENZELIN</w:t>
      </w:r>
    </w:p>
    <w:p>
      <w:r>
        <w:t>- 10/10 -</w:t>
      </w:r>
    </w:p>
    <w:p>
      <w:r>
        <w:t>C/22769/2016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