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ACJC/814/2009 vom 22. September 2008</w:t>
      </w:r>
    </w:p>
    <w:p>
      <w:r>
        <w:t>GE Cour de justice, 2008-09-22, FR</w:t>
      </w:r>
    </w:p>
    <w:p>
      <w:r>
        <w:rPr>
          <w:b/>
        </w:rPr>
        <w:t xml:space="preserve">Quelle: </w:t>
      </w:r>
      <w:r>
        <w:t>https://mcp.opencaselaw.ch/entscheid/ge_gerichte_ACJC_814_2009</w:t>
      </w:r>
    </w:p>
    <w:p>
      <w:r>
        <w:t>FR: GE_GERICHTE ACJC/814/2009 du 22 septembre 2008</w:t>
      </w:r>
    </w:p>
    <w:p>
      <w:r>
        <w:t>IT: GE_GERICHTE ACJC/814/2009 del 22 settembre 2008</w:t>
      </w:r>
    </w:p>
    <w:p>
      <w:pPr>
        <w:pStyle w:val="Heading2"/>
      </w:pPr>
      <w:r>
        <w:t>Erwägungen</w:t>
      </w:r>
    </w:p>
    <w:p>
      <w:r>
        <w:rPr>
          <w:b/>
        </w:rPr>
        <w:t>E. 1</w:t>
      </w:r>
    </w:p>
    <w:p>
      <w:r>
        <w:t>L’appel est recevable pour avoir été déposé selon la forme et dans le délai prescrits (art. 443 et 444 LPC).</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Les pièces produites en appel sont ainsi, en principe, recevables.</w:t>
      </w:r>
    </w:p>
    <w:p>
      <w:r>
        <w:rPr>
          <w:b/>
        </w:rPr>
        <w:t>E. 2</w:t>
      </w:r>
    </w:p>
    <w:p>
      <w:r>
        <w:t>L'intimée invoque, en appel comme en première instance, la nullité du congé qui aurait été donné par des représentants sans pouvoir. A teneur du Registre du commerce, l'un des signataires de l'avis de résiliation n'avait pas le pouvoir de représenter la régie, tandis que l'autre disposait uniquement d'une signature collective à deux. Cette circonstance est sans pertinence pour juger de la validité du congé donné par la régie au nom de la bailleresse, qui s'apprécie au regard des art. 32ss CO. Il est de toute manière constant que la bailleresse a ratifié le congé depuis le début de la procédure, comme l'art. 38 CO l'autoriserait en cas de défaut de pouvoir de représentation. Il convient donc d'aborder le fond de la question, à savoir la validité du congé donné pour des motifs économiques.</w:t>
      </w:r>
    </w:p>
    <w:p>
      <w:r>
        <w:rPr>
          <w:b/>
        </w:rPr>
        <w:t>E. 3</w:t>
      </w:r>
    </w:p>
    <w:p>
      <w:r>
        <w:t>La résiliation du bail fondée sur des motifs économiques est régie par les principes suivants.</w:t>
      </w:r>
    </w:p>
    <w:p>
      <w:r>
        <w:t>- 6/11 -</w:t>
      </w:r>
    </w:p>
    <w:p>
      <w:r>
        <w:t>C/10131/2007</w:t>
      </w:r>
    </w:p>
    <w:p>
      <w:r>
        <w:rPr>
          <w:b/>
        </w:rPr>
        <w:t>E. 3.1</w:t>
      </w:r>
    </w:p>
    <w:p>
      <w:r>
        <w:t>Selon la jurisprudence (en dernier lieu : arrêt du Tribunal fédéral 4A_427/2007 du 11 mars 2008),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 du Tribunal fédéral 4C.343/2004, in Zeitschrift für schw. Mietrecht 2005 p. 100, consid. 3.2; 4C.267/2002 in SJ 2003 I 261, consid. 2.3 p. 264). 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4C.343/2004 in Zeitschrift für schw. Mietrecht 2005 p. 100, consid. 3.2).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4A_427/2007 du 11 mars 2008 consid. 2.4). Ainsi, contrairement à ce que semble penser l'appelante, il ne suffit pas de produire un grand nombre d'exemples de loyers dans un périmètre plus ou moins éloigné de l'objet de référence puis de procéder à une moyenne arithmétique de tous ces loyers. Encore faut-il que ces exemples puissent être pris en considération conformément aux principes applicables en la matière (cf. consid. 4).</w:t>
      </w:r>
    </w:p>
    <w:p>
      <w:r>
        <w:rPr>
          <w:b/>
        </w:rPr>
        <w:t>E. 3.2</w:t>
      </w:r>
    </w:p>
    <w:p>
      <w:r>
        <w:t>Sur le plan de la procédure, il faut retenir que le procès est régi par la maxime d'office (art. 274d al. 3 CO). Le juge doit ainsi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w:t>
      </w:r>
    </w:p>
    <w:p>
      <w:r>
        <w:t>- 7/11 -</w:t>
      </w:r>
    </w:p>
    <w:p>
      <w:r>
        <w:t>C/10131/2007 A Genève,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(BERTOSSA/GAILLARD/GUYET/SCHMIDT, op. cit., n. 1 ad art. 436).</w:t>
      </w:r>
    </w:p>
    <w:p>
      <w:r>
        <w:rPr>
          <w:b/>
        </w:rPr>
        <w:t>E. 3.3</w:t>
      </w:r>
    </w:p>
    <w:p>
      <w:r>
        <w:t>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conforme aux prescriptions de l'art. 274d al. 3 CO,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(art. 274d al. 3 CO), qui commande au bailleur de contribuer loyalement à la manifestation de la vérité en fournissant tous les éléments en sa possession, nécessaires à la vérification du motif allégué (arrêt du Tribunal fédéral 4C.61/2005, in SJ 2006 I 34, consid. 4.3.2).</w:t>
      </w:r>
    </w:p>
    <w:p>
      <w:r>
        <w:rPr>
          <w:b/>
        </w:rPr>
        <w:t>E. 4</w:t>
      </w:r>
    </w:p>
    <w:p>
      <w:r>
        <w:t>La procédure menée par le Tribunal s'est déroulée de manière exclusivement écrite. Malgré la demande répétée de la bailleresse, aucune mesure d'instruction n'a été entreprise aux fins de déterminer l'état réel des locaux litigieux. Par ailleurs, les allégués de la bailleresse relatifs à l'état de ces locaux - taxés de "moyen" - étaient contestés par la locataire qui les qualifiait de "usagés". De surcroît, la locataire affirmait que les locaux n'avaient jamais fait l'objet d'entretien de la part de la bailleresse depuis 18 ans.</w:t>
      </w:r>
    </w:p>
    <w:p>
      <w:r>
        <w:t>Toutes ces circonstances auraient dû amener les premiers juges à procéder - au moins - à une comparution personnelles des parties, laquelle aurait permis de</w:t>
      </w:r>
    </w:p>
    <w:p>
      <w:r>
        <w:t>- 8/11 -</w:t>
      </w:r>
    </w:p>
    <w:p>
      <w:r>
        <w:t>C/10131/2007 mieux connaître l'état réel des locaux occupés par l'intimée. Cas échéant, un transport sur place aurait pu être adéquat pour mieux cerner encore les particularités précises de l'objet donné en location. Nanti des ces éléments, le Tribunal aurait été en mesure d'apprécier la pertinence des objets offerts en comparaison, en particulier en ce qui concerne l'état des locaux eux-mêmes. Pour les motifs qui suivront, l'absence de comparution personnelle et d'autres mesures d'enquêtes n'a néanmoins pas eu d'incidence sur le résultat auquel est parvenu le Tribunal.</w:t>
      </w:r>
    </w:p>
    <w:p>
      <w:r>
        <w:rPr>
          <w:b/>
        </w:rPr>
        <w:t>E. 5</w:t>
      </w:r>
    </w:p>
    <w:p>
      <w:r>
        <w:t>Il convient maintenant d'examiner si le loyer de l'appartement litigieux est inférieur aux loyers pratiqués dans le quartier.</w:t>
      </w:r>
    </w:p>
    <w:p>
      <w:r>
        <w:rPr>
          <w:b/>
        </w:rPr>
        <w:t>E. 5.1</w:t>
      </w:r>
    </w:p>
    <w:p>
      <w:r>
        <w:t>Au terme de l'art. 269a lit.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(al. 1). Pour les locaux commerciaux, la comparaison peut être opérée sur la base du prix au mètre carré usuel dans le quartier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(ATF 123 III 317 consid. 4a). S'agissant de l'emplacement des immeubles concernés, ils doivent se trouver dans le même quartier, bénéficier d'avantages analogues à ceux de l'appartement considéré (facilités commerciales ou de transports publics) et subir des nuisances comparables à ceux de l'appartement litigieux (exposition au bruit; absence de parking: LACHAT, La bail à loyer, Lausanne 2008, p. 458). En ce qui concerne l'année de construction de l'immeuble abritant les locaux, un écart de deux décennies est toléré (ATF 123 III 317 consid. 4a/aa). S'agissant de la dimension de logements d'habitation, le nombre de pièces est le critère déterminant, mais il convient de le pondérer éventuellement avec la surface : un écart de 15% est encore admissible, tandis qu'un écart de 25% exclut toute comparaison (ATF 123 III 317 consid. 4b/cc).</w:t>
      </w:r>
    </w:p>
    <w:p>
      <w:r>
        <w:rPr>
          <w:b/>
        </w:rPr>
        <w:t>E. 5.2</w:t>
      </w:r>
    </w:p>
    <w:p>
      <w:r>
        <w:t>Pour apprécier des objets locatifs comparables, il convient de tenir compte uniquement des immeubles situés dans un périmètre dont la bordure extérieure est l'avenue de Champel (No 2 à 40), l'avenue Peschier, le chemin des Clochettes, l'avenue de Miremont, l'avenue Louis-Aubert, le chemin des Crêts-</w:t>
      </w:r>
    </w:p>
    <w:p>
      <w:r>
        <w:t>- 9/11 -</w:t>
      </w:r>
    </w:p>
    <w:p>
      <w:r>
        <w:t>C/10131/2007 de-Champel, le chemin de la Tour-de-Champel, l'avenue de Beauséjour, l'avenue Lombard et le rue Sautter. Les exemples extérieurs à ce périmètre se trouvent en effet dans un tissu urbain différent, comprenant principalement des constructions plus anciennes et d'un standing plus élevé. On ne peut pas non plus comparer les immeubles situés en bordure du parc Bertrand avec celui des intimés situé dans un environnement plus urbain. Soit en raison d'un trop grand écart dans les années de construction, soit en raison de l'état bon ou excellent de l'immeuble, soit en raison de l'état excellent ou bon de l'appartement, soit en raison de la présence de cuisine récente et équipée, soit en raison d'un cumul de tous ces critères, les cinq objets situés dans le périmètre pertinent de comparaison doivent être écartés. Il s'agit en détail des motifs suivants : appartement de 8 pièces d'une surface de 241 m2 situé au 3ème étage de l'immeuble sis 40, avenue ______ (pce 12 app.): - plus de vingt ans d'écart entre les années de construction (1987/1931); - différence dans l'état général de l'immeuble (bon/moyen); - différence dans l'état de l'appartement (bon/moyen); - différences dans le confort de l'appartement (installations électriques récentes/anciennes; doubles vitrages/vitrages simples; cuisine et sanitaires récents/anciens). appartement de 6 pièces d'une surface de 185 m2 situé au 2ème étage de l'immeuble sis 59, avenue ______ (pce 13 app.): - différence du nombre de pièces (6/8,5); - différence dans l'état général de l'immeuble (bon/moyen); - différence dans l'état de l'appartement (bon/moyen); - différences dans le confort de l'appartement (installations récentes/anciennes; doubles vitrages/vitrages simples; cuisine et sanitaires récents/anciens). appartement de 6 pièces d'une surface de 140 m2 situé à un étage inconnu de l'immeuble sis 16, avenue ______ (pce 17 app.): - différence du nombre de pièces (6/8,5); - différence dans l'état général de l'immeuble (excellent/moyen); - différence dans l'état de l'appartement (bon/moyen); - différences de confort (cuisine et sanitaires récents/anciens). appartement de 6,5 pièces d'une surface de 164 m2 situé au 3ème étage de l'immeuble sis 3, avenue ______ (pce 22 app.): - plus de vingt ans d'écart entre les années de construction (1910/1931) - différence du nombre de pièces (6,5/8,5); - différence dans l'état général de l'immeuble (bon/moyen);</w:t>
      </w:r>
    </w:p>
    <w:p>
      <w:r>
        <w:t>- 10/11 -</w:t>
      </w:r>
    </w:p>
    <w:p>
      <w:r>
        <w:t>C/10131/2007 - différence dans l'état de l'appartement (excellent/moyen); - différences de confort (installations électriques récentes/ anciennes; doubles vitrages/vitrages simples; cuisine et sanitaires récents/anciens). appartement de 6 pièces d'une surface de 209 m2 situé au 3ème étage de l'immeuble sis 8, chemin ______ (pce 31 app.): - plus de vingt ans d'écart entre les années de construction (1980/1931) - différence du nombre de pièces (6/8,5); - différence dans l'état général de l'immeuble (bon/moyen); - différence dans l'état de l'appartement (bon/moyen); - différences de confort (installations électriques anciennes/ récentes; doubles vitrages/vitrages simples; cuisine et sanitaires récents/anciens).</w:t>
      </w:r>
    </w:p>
    <w:p>
      <w:r>
        <w:rPr>
          <w:b/>
        </w:rPr>
        <w:t>E. 5.3</w:t>
      </w:r>
    </w:p>
    <w:p>
      <w:r>
        <w:t>Au vu de ce qui précède, la bailleresse échoue à faire la démonstration que l'appartement litigieux pourrait être loué à un tiers à un loyer plus élevé que celui actuellement fixé. Le congé donné pour des motifs économiques n'est pas fondé et doit dès lors être annulé.</w:t>
      </w:r>
    </w:p>
    <w:p>
      <w:r>
        <w:rPr>
          <w:b/>
        </w:rPr>
        <w:t>E. 6</w:t>
      </w:r>
    </w:p>
    <w:p>
      <w:r>
        <w:t>L'appelante se prévaut encore dans ses écritures d'appel des statistiques cantonales, lesquelles font état de loyers supérieurs à celui acquitté par les intimés. Cette argumentation se heurte cependant à la jurisprudence fédérale à teneur de laquelle les statistiques genevoises ne contiennent pas de données suffisantes pour permettre de procéder à des comparaisons concrètes au regard des critères de l'art. 11 al. 1 OBLF (arrêt du Tribunal fédéral 4A_427/2007 du</w:t>
      </w:r>
    </w:p>
    <w:p>
      <w:r>
        <w:rPr>
          <w:b/>
        </w:rPr>
        <w:t>E. 11</w:t>
      </w:r>
    </w:p>
    <w:p>
      <w:r>
        <w:t>mars 2008 consid. 2.4). En définitive, le jugement entrepris sera entièrement confirmé. 7. L'appelante qui succombe supportera l'émolument d'appel (art. 447 al. 2 LPC). * * * * *</w:t>
      </w:r>
    </w:p>
    <w:p>
      <w:r>
        <w:t>- 11/11 -</w:t>
      </w:r>
    </w:p>
    <w:p>
      <w:r>
        <w:t>C/10131/2007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