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ACJC/813/2025 vom 20. Juni 2025</w:t>
      </w:r>
    </w:p>
    <w:p>
      <w:r>
        <w:t>GE Cour de justice, 2025-06-20, FR</w:t>
      </w:r>
    </w:p>
    <w:p>
      <w:r>
        <w:rPr>
          <w:b/>
        </w:rPr>
        <w:t xml:space="preserve">Quelle: </w:t>
      </w:r>
      <w:r>
        <w:t>https://mcp.opencaselaw.ch/entscheid/ge_gerichte_ACJC_813_2025</w:t>
      </w:r>
    </w:p>
    <w:p>
      <w:r>
        <w:t>FR: GE_GERICHTE ACJC/813/2025 du 20 juin 2025</w:t>
      </w:r>
    </w:p>
    <w:p>
      <w:r>
        <w:t>IT: GE_GERICHTE ACJC/813/2025 del 20 giugno 2025</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w:t>
      </w:r>
    </w:p>
    <w:p>
      <w:r>
        <w:t>- 5/8 -</w:t>
      </w:r>
    </w:p>
    <w:p>
      <w:r>
        <w:t>C/23001/2020 matérielle de l'instance (JEANDIN, Commentaire romand, Code de procédure civile, 2ème éd., 2019, n. 11 ad art. 319 CPC; FREIBURGHAUS/AFHELDT, Kommentar zur Schweizerischen Zivilprozessordnung, 3ème éd., 2016, n. 11 ad art. 319 CPC).</w:t>
      </w:r>
    </w:p>
    <w:p>
      <w:r>
        <w:rPr>
          <w:b/>
        </w:rPr>
        <w:t>E. 1.2</w:t>
      </w:r>
    </w:p>
    <w:p>
      <w:r>
        <w:t>Introduit dans le délai et la forme prescrits par la loi (art. 130, 131 et 321 al. 2 CPC), le recours est recevable de ces points de vue.</w:t>
      </w:r>
    </w:p>
    <w:p>
      <w:r>
        <w:rPr>
          <w:b/>
        </w:rPr>
        <w:t>E. 2</w:t>
      </w:r>
    </w:p>
    <w:p>
      <w:r>
        <w:t>Les autres hypothèses visées par l'art. 319 let. b ch. 1 CPC n'étant pas réalisées, il reste à déterminer si l'ordonnance attaquée est susceptible de causer un préjudice difficilement réparable au recourant (art. 319 let. b ch. 2 CPC).</w:t>
      </w:r>
    </w:p>
    <w:p>
      <w:r>
        <w:rPr>
          <w:b/>
        </w:rPr>
        <w:t>E. 2.1</w:t>
      </w:r>
    </w:p>
    <w:p>
      <w:r>
        <w:t>Constitue un « préjudice difficilement réparable »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ACJC/1686/2023 du 19 décembre 2023 consid. 2.1; JEANDIN, op. cit.,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 et 22a ad art. 319 CPC). Une simple prolongation de la procédure ou un accroissement des frais de celle-ci ne constitue pas un préjudice difficilement réparable (SPÜHLER, Basler Kommentar, Schweizerische Zivilprozessordnung,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JT 2013 III 131 ss, 155). Retenir le contraire équivaudrait à permettre à un plaideur de contester immédiatement toute ordonnance d'instruction pouvant avoir un effet sur le sort de la cause, ce que le</w:t>
      </w:r>
    </w:p>
    <w:p>
      <w:r>
        <w:t>- 6/8 -</w:t>
      </w:r>
    </w:p>
    <w:p>
      <w:r>
        <w:t>C/23001/2020 législateur a justement voulu éviter (parmi plusieurs : ACJC/220/2023 du 13 février 2023 consid. 2.1; ACJC/1686/2023 du 19 décembre 2023 consid. 2.1). Il appartient au recourant d'alléguer et d'établir la possibilité que la décision attaquée lui cause un préjudice difficilement réparable, à moins que cela ne fasse d'emblée aucun doute (par analogie : ATF 134 III 426 consid. 1.2 et 133 III 629 consid. 2.3.1). Si la condition du préjudice difficilement réparable n'est pas remplie, le recours est irrecevable et la partie doit attaquer la décision incidente avec la décision finale sur le fond (BRUNNER, Schweizerische Zivilprozessordnung, n. 13 ad art. 319 CPC).</w:t>
      </w:r>
    </w:p>
    <w:p>
      <w:r>
        <w:rPr>
          <w:b/>
        </w:rPr>
        <w:t>E. 2.2</w:t>
      </w:r>
    </w:p>
    <w:p>
      <w:r>
        <w:t>En l’espèce, le recourant fait valoir que la limitation de la procédure aurait pour conséquence que la durée de la procédure dans son ensemble serait plus longue, vu la possibilité de mettre en cause la décision rendue sur le principe de la responsabilité. Or, l'écoulement du temps entraînerait l'arrivée à maturité de plus en plus de ses titres ou un risque que certains émetteurs d'obligations fassent défaut, sans qu'il puisse gérer son portefeuille et prendre des décisions conservatoires pour liquider ses positions au moment opportun. Seules resteraient ainsi les questions relatives à l'indemnisation financière qui ne compenseraient que partiellement la perte de ses droits matériels de disposer des titres "injustement liquidés" par l'intimée. Les meilleurs titres ayant été déjà liquidés par cette dernière, les titres restants devraient être gérés de manière encore plus attentive, ce qui serait de plus en compliqué au fur et à mesure de l'écoulement du temps, engendrant des risques "pratiquement impossibles à mesurer".</w:t>
      </w:r>
    </w:p>
    <w:p>
      <w:r>
        <w:t>Pareils arguments ne convainquent pas, étant rappelé que la Cour doit se montrer restrictive dans son examen des conditions de l'art. 319 let. b ch. 2 CPC. En effet, il n'apparaît pas que la situation procédurale du recourant serait rendue notablement plus difficile et péjorée si la décision querellée était mise en œuvre. En lui-même, l'éventuel allongement de la durée de la procédure n'est pas source d'un préjudice difficilement réparable. Par ailleurs, les risques évoqués par le recourant en lien avec ses titres, à supposer qu'ils soient réels et concrets ce qui n'est pas établi, ne sont pas davantage susceptibles de causer un tel préjudice, puisque, comme le recourant en convient lui-même, une indemnisation demeurerait possible. Au vu de ce qui précède, il n'existe pas de préjudice difficilement réparable au détriment du recourant. Le recours sera, par conséquent, déclaré irrecevable.</w:t>
      </w:r>
    </w:p>
    <w:p>
      <w:r>
        <w:rPr>
          <w:b/>
        </w:rPr>
        <w:t>E. 3</w:t>
      </w:r>
    </w:p>
    <w:p>
      <w:r>
        <w:t>Le recourant, qui succombe, sera condamné aux frais judiciaires du recours (art. 106 al. 1 CPC). Ceux-ci seront arrêtés à 1'000 fr., compensés avec l'avance de</w:t>
      </w:r>
    </w:p>
    <w:p>
      <w:r>
        <w:t>- 7/8 -</w:t>
      </w:r>
    </w:p>
    <w:p>
      <w:r>
        <w:t>C/23001/2020 frais du même montant fournie par le recourant, laquelle reste acquise à l'Etat de Genève (art. 111 al. 1 CPC). Le recourant versera à l’intimée des dépens de recours. Ceux-ci seront fixés à 5'000 fr., débours et TVA inclus, compte tenu de la valeur litigieuse élevée, mais également du champ restreint de la question soulevée par le recours, et des deux écritures relativement brèves déposées par l'intimée sur fourniture de sûretés et réponse au recours (art. 105 al. 2 et 106 al. 1 CPC; art. 85, 87 et 90 RTFMC; art. 23 al. 1, 25 et 26 LaCC). Le montant précité sera prélevé sur les sûretés en garantie des dépens, versées par le recourant, dont le solde sera restitué à celui-ci. * * * * *</w:t>
      </w:r>
    </w:p>
    <w:p>
      <w:r>
        <w:t>- 8/8 -</w:t>
      </w:r>
    </w:p>
    <w:p>
      <w:r>
        <w:t>C/23001/2020 PAR CES MOTIFS, La Chambre civile : Déclare irrecevable le recours formé le 13 janvier 2025 par A______ contre l'ordonnance ORTPI/1593/2024 rendue le 17 décembre 2024 par le Tribunal de première instance dans la cause C/23001/2020. Sur les frais : Arrête les frais du recours à 1'000 fr., compensés avec l'avance opérée, acquise à l'Etat de Genève. Les met à la charge de A______. Condamne A______ à verser à B______ 5'000 fr. à titre de dépens de recours. Dit que ce montant sera prélevé sur les sûretés en garantie des dépens versées par A______. Ordonne aux Services financiers du Pouvoir judiciaire de restituer à A______ le solde du montant des sûretés en garantie des dépens.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