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ACJC/812/2020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https://mcp.opencaselaw.ch/entscheid/ge_gerichte_ACJC_812_2020</w:t>
      </w:r>
    </w:p>
    <w:p>
      <w:r>
        <w:t>FR: GE_GERICHTE ACJC/812/2020 du 15 juin 2020</w:t>
      </w:r>
    </w:p>
    <w:p>
      <w:r>
        <w:t>IT: GE_GERICHTE ACJC/812/2020 del 15 giugno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26.06.2020.</w:t>
      </w:r>
    </w:p>
    <w:p>
      <w:r>
        <w:t>REPUBLIQUE ET</w:t>
      </w:r>
    </w:p>
    <w:p>
      <w:r>
        <w:t>CANTON DE GENEVE POUVOIR JUDICIAIRE C/1331/2020 ACJC/812/2020 ARRÊT DE LA COUR DE JUSTICE Chambre civile DU LUNDI 15 JUIN 2020</w:t>
      </w:r>
    </w:p>
    <w:p>
      <w:r>
        <w:t>Entre Monsieur A______, domicilié ______[GE], recourant contre un jugement rendu par la 8ème Chambre du Tribunal de première instance de ce canton le 25 mai 2020, comparant en personne, et B______ SA, ______, ______[ZH], intimée, comparant en personne.</w:t>
      </w:r>
    </w:p>
    <w:p>
      <w:r>
        <w:t>- 2/3 -</w:t>
      </w:r>
    </w:p>
    <w:p>
      <w:r>
        <w:t>C/1331/2020 Vu le jugement JTPI/5881/2020 rendu le 25 mai 2020 par le Tribunal de première instance dans la cause C/1331/2020-8 SFC, prononçant la faillite de A______, communiqué à ce dernier par voie édictale dans la Feuille d'Avis Officielle du ______ 2020; Attendu, EN FAIT, que par acte déposé au greffe de la Cour le 9 juin 2020, A______ a formé recours contre ce jugement; Considérant, EN DROIT, que le délai pour former recours contre une décision du juge de la faillite est de dix jours (art. 174 al. 1 LP); Qu'en l'espèce, le délai pour recourir venait à échéance le 8 juin 2020 (art. 142 al. 1 et 3 CPC), l'acte étant réputé notifié le jour de la publication; Qu'ainsi, le recours, déposé après l'expiration de ce délai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C/1331/2020 PAR CES MOTIFS, La Chambre civile : Déclare irrecevable le recours formé le 9 juin 2020 contre le jugement JTPI/5881/2020 rendu le 25 mai 2020 par le Tribunal de première instance dans la cause C/1331/2020-8 SFC, déclarant A______ en état de faillite. Dit qu'il n'est pas perçu de frais judiciaires pour la procédure de recours.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